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"/>
        <w:gridCol w:w="590"/>
        <w:gridCol w:w="1573"/>
        <w:gridCol w:w="1933"/>
        <w:gridCol w:w="1298"/>
        <w:gridCol w:w="2985"/>
        <w:gridCol w:w="635"/>
        <w:gridCol w:w="751"/>
        <w:gridCol w:w="2279"/>
        <w:gridCol w:w="16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9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J24"/>
            <w:r>
              <w:rPr>
                <w:rFonts w:hint="eastAsia"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639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体育卫生与艺术教育-北京市学生艺术展演系列活动二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169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10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89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北京舞蹈学院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169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张海君</w:t>
            </w:r>
          </w:p>
        </w:tc>
        <w:tc>
          <w:tcPr>
            <w:tcW w:w="10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89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68937192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1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0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06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6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272.107250 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261.187000 </w:t>
            </w:r>
          </w:p>
        </w:tc>
        <w:tc>
          <w:tcPr>
            <w:tcW w:w="10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             243.146100 </w:t>
            </w:r>
          </w:p>
        </w:tc>
        <w:tc>
          <w:tcPr>
            <w:tcW w:w="2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93.09%</w:t>
            </w:r>
          </w:p>
        </w:tc>
        <w:tc>
          <w:tcPr>
            <w:tcW w:w="5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6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272.107250 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261.187000 </w:t>
            </w:r>
          </w:p>
        </w:tc>
        <w:tc>
          <w:tcPr>
            <w:tcW w:w="10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             243.146100 </w:t>
            </w:r>
          </w:p>
        </w:tc>
        <w:tc>
          <w:tcPr>
            <w:tcW w:w="22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0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93.09%</w:t>
            </w:r>
          </w:p>
        </w:tc>
        <w:tc>
          <w:tcPr>
            <w:tcW w:w="5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6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06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6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6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06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1903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944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5" w:hRule="atLeast"/>
        </w:trPr>
        <w:tc>
          <w:tcPr>
            <w:tcW w:w="15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903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2023年北京大学生舞蹈节将集结来自北京各高校，活动计划通过线上线下相结合的方式，举办开闭幕式，进行作品征集、评审、优秀节目展演，设置大师工作坊、公开课等系列活动。历年舞蹈节展演作品水平高、原创多、民族性强、立意深刻、形式新颖、题材广泛。在舞蹈形式上既有具有中国传统特色的古典舞、民族民间舞，也有同国际接轨的芭蕾舞、现代舞。通过大学生舞蹈节展开的一系列活动，对各大高校舞蹈专业学生进行专业和相关学科知识的的相互沟通，不仅可以培养学生在实践活动中的服务意识和责任意识，提高学生的实践创新能力，更为舞蹈学子们开阔艺术眼界、丰富自我专业修养提供机会，在各高校舞蹈专业及美育教育间搭建理论与实践相结合的沟通桥梁。 </w:t>
            </w:r>
          </w:p>
        </w:tc>
        <w:tc>
          <w:tcPr>
            <w:tcW w:w="2944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2023年北京大学生舞蹈节，于5月27日-6月14日陆续开展为期19天丰富生动的各类舞蹈艺术活动。举办开、闭幕式2台，市级展演作品110个，举办3场优秀作品展演，网络展演作品52个，开设教学公开课8门，大师工作坊5门，举办专场演出2台，邀请明星代言人4人，评选学生形象代言人4人，网络评选4轮。来自北京57所高校的2700余名大学生参演，69所高校、万余名师生参与了舞蹈节相关活动，活动线上传播浏览量超500万人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5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5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4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55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参与人数</w:t>
            </w:r>
          </w:p>
        </w:tc>
        <w:tc>
          <w:tcPr>
            <w:tcW w:w="4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≥1000人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2700人</w:t>
            </w:r>
          </w:p>
        </w:tc>
        <w:tc>
          <w:tcPr>
            <w:tcW w:w="2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超额完成目标设定。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1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5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参与高校</w:t>
            </w:r>
          </w:p>
        </w:tc>
        <w:tc>
          <w:tcPr>
            <w:tcW w:w="4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≥30所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50所</w:t>
            </w:r>
          </w:p>
        </w:tc>
        <w:tc>
          <w:tcPr>
            <w:tcW w:w="2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超额完成目标设定。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1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高水平舞蹈作品展演及多原创性</w:t>
            </w:r>
          </w:p>
        </w:tc>
        <w:tc>
          <w:tcPr>
            <w:tcW w:w="4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市级展演原创作品75个，网络展演原创作品31个，线下优秀节目展演原创作品38个</w:t>
            </w:r>
          </w:p>
        </w:tc>
        <w:tc>
          <w:tcPr>
            <w:tcW w:w="2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4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质量指标设置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不够具体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，今后加强目标的设置，使指标具体量化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2023年度</w:t>
            </w:r>
          </w:p>
        </w:tc>
        <w:tc>
          <w:tcPr>
            <w:tcW w:w="4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≤12月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2023年完成</w:t>
            </w:r>
          </w:p>
        </w:tc>
        <w:tc>
          <w:tcPr>
            <w:tcW w:w="2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4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未具体设置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时效指标，今后加强目标的设置，使指标具体量化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5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经济成本指标</w:t>
            </w: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严格按照预算执行</w:t>
            </w:r>
          </w:p>
        </w:tc>
        <w:tc>
          <w:tcPr>
            <w:tcW w:w="4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≤272.10725万元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243.1461万元</w:t>
            </w:r>
          </w:p>
        </w:tc>
        <w:tc>
          <w:tcPr>
            <w:tcW w:w="2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9.31</w:t>
            </w:r>
          </w:p>
        </w:tc>
        <w:tc>
          <w:tcPr>
            <w:tcW w:w="14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厉行勤俭节约，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防疫、交通、餐饮等方面节省经费，有资金结余。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0" w:hRule="atLeast"/>
        </w:trPr>
        <w:tc>
          <w:tcPr>
            <w:tcW w:w="1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5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支持首都文化中心建设</w:t>
            </w:r>
          </w:p>
        </w:tc>
        <w:tc>
          <w:tcPr>
            <w:tcW w:w="4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为首都高校学子搭建了高水平、多维度、舞蹈教学和舞台实践全方位融合的学习交流平台。拓展了艺术教育，延伸了艺术课堂，为广大师生搭建了更广泛的艺术实践平台。为我市中小学教师开放了参与通道，拓展了中小学艺术教师的视野，也加强了大中小学间美育教师的交流。各项活动与校园文化建设、高校公共艺术课程、学生艺术社团密切结合，让更多的大学生享受到优质美育教育资源，有效促进高校艺术教育的互通共享</w:t>
            </w:r>
          </w:p>
        </w:tc>
        <w:tc>
          <w:tcPr>
            <w:tcW w:w="2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4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经济效益指标设置过于笼统，今后加强目标的设置，使指标具体量化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7" w:hRule="atLeast"/>
        </w:trPr>
        <w:tc>
          <w:tcPr>
            <w:tcW w:w="1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为学生开阔艺术眼界、丰富自我专业修养提供了难得的机会，实现北京高校舞蹈艺术实践交流</w:t>
            </w:r>
          </w:p>
        </w:tc>
        <w:tc>
          <w:tcPr>
            <w:tcW w:w="4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为首都高校学子搭建了高水平、多维度、舞蹈教学和舞台实践全方位融合的学习交流平台。拓展了艺术教育，延伸了艺术课堂，为广大师生搭建了更广泛的艺术实践平台。为我市中小学教师开放了参与通道，拓展了中小学艺术教师的视野，也加强了大中小学间美育教师的交流。各项活动与校园文化建设、高校公共艺术课程、学生艺术社团密切结合，让更多的大学生享受到优质美育教育资源，有效促进高校艺术教育的互通共享</w:t>
            </w:r>
          </w:p>
        </w:tc>
        <w:tc>
          <w:tcPr>
            <w:tcW w:w="2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4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社会效益指标设置过于笼统，今后加强目标的设置，使指标具体量化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1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反哺人才培养</w:t>
            </w:r>
          </w:p>
        </w:tc>
        <w:tc>
          <w:tcPr>
            <w:tcW w:w="4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为首都高校学子搭建了高水平、多维度、舞蹈教学和舞台实践全方位融合的学习交流平台。拓展了艺术教育，延伸了艺术课堂，为广大师生搭建了更广泛的艺术实践平台。为我市中小学教师开放了参与通道，拓展了中小学艺术教师的视野，也加强了大中小学间美育教师的交流。各项活动与校园文化建设、高校公共艺术课程、学生艺术社团密切结合，让更多的大学生享受到优质美育教育资源，有效促进高校艺术教育的互通共享</w:t>
            </w:r>
          </w:p>
        </w:tc>
        <w:tc>
          <w:tcPr>
            <w:tcW w:w="2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4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可持续影响指标设置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过于笼统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，今后加强目标的</w:t>
            </w:r>
            <w:bookmarkStart w:id="1" w:name="_GoBack"/>
            <w:bookmarkEnd w:id="1"/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设置，使指标具体量化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5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参与高校师生及社会满意度</w:t>
            </w:r>
          </w:p>
        </w:tc>
        <w:tc>
          <w:tcPr>
            <w:tcW w:w="4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师生反馈通过活动非常受益，对活动举办非常满意</w:t>
            </w:r>
          </w:p>
        </w:tc>
        <w:tc>
          <w:tcPr>
            <w:tcW w:w="2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4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满意度调查资料不够完善，今后完善满意度资料的整理和分析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1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88.62</w:t>
            </w:r>
          </w:p>
        </w:tc>
        <w:tc>
          <w:tcPr>
            <w:tcW w:w="14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D546C811-EC5A-474A-A895-60AFAB697852}"/>
  </w:font>
  <w:font w:name="方正小标宋简体">
    <w:panose1 w:val="02000000000000000000"/>
    <w:charset w:val="86"/>
    <w:family w:val="roman"/>
    <w:pitch w:val="default"/>
    <w:sig w:usb0="00000001" w:usb1="08000000" w:usb2="00000000" w:usb3="00000000" w:csb0="00040000" w:csb1="00000000"/>
    <w:embedRegular r:id="rId2" w:fontKey="{6D8246ED-8B7D-4B4C-8F42-093ABC6F7C8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946C182-8387-403C-A00B-49A8B5528C0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5ZWQxMzNiMmNhNWVmNDYzMTQzZmNiZDZmMGU0MzUifQ=="/>
  </w:docVars>
  <w:rsids>
    <w:rsidRoot w:val="009D4842"/>
    <w:rsid w:val="00062DC8"/>
    <w:rsid w:val="001777A5"/>
    <w:rsid w:val="001A1AEB"/>
    <w:rsid w:val="002A3A01"/>
    <w:rsid w:val="002D42D5"/>
    <w:rsid w:val="002E4D3D"/>
    <w:rsid w:val="002F35BB"/>
    <w:rsid w:val="00305178"/>
    <w:rsid w:val="0032269A"/>
    <w:rsid w:val="00391564"/>
    <w:rsid w:val="003B5925"/>
    <w:rsid w:val="003E2123"/>
    <w:rsid w:val="0045049F"/>
    <w:rsid w:val="004719B1"/>
    <w:rsid w:val="004A3B9D"/>
    <w:rsid w:val="004B094B"/>
    <w:rsid w:val="004C4C6A"/>
    <w:rsid w:val="004D5FA8"/>
    <w:rsid w:val="004F487A"/>
    <w:rsid w:val="004F6DC9"/>
    <w:rsid w:val="00501EFC"/>
    <w:rsid w:val="00540820"/>
    <w:rsid w:val="005C20C3"/>
    <w:rsid w:val="005D3466"/>
    <w:rsid w:val="00641218"/>
    <w:rsid w:val="00667FA6"/>
    <w:rsid w:val="006865B9"/>
    <w:rsid w:val="006F3BF2"/>
    <w:rsid w:val="006F44B9"/>
    <w:rsid w:val="006F4BB5"/>
    <w:rsid w:val="00866C30"/>
    <w:rsid w:val="00867328"/>
    <w:rsid w:val="008D57B7"/>
    <w:rsid w:val="0090202B"/>
    <w:rsid w:val="00973889"/>
    <w:rsid w:val="009D4842"/>
    <w:rsid w:val="009E285B"/>
    <w:rsid w:val="009E2AEF"/>
    <w:rsid w:val="00A62940"/>
    <w:rsid w:val="00B56186"/>
    <w:rsid w:val="00B91EE3"/>
    <w:rsid w:val="00C16D86"/>
    <w:rsid w:val="00C23654"/>
    <w:rsid w:val="00CC28B7"/>
    <w:rsid w:val="00CF130B"/>
    <w:rsid w:val="00CF7D9D"/>
    <w:rsid w:val="00D00C01"/>
    <w:rsid w:val="00D11F15"/>
    <w:rsid w:val="00D600CF"/>
    <w:rsid w:val="00D63F7B"/>
    <w:rsid w:val="00DE5746"/>
    <w:rsid w:val="00FB3E27"/>
    <w:rsid w:val="00FE2D1B"/>
    <w:rsid w:val="7FFA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403</Words>
  <Characters>2303</Characters>
  <Lines>19</Lines>
  <Paragraphs>5</Paragraphs>
  <TotalTime>4</TotalTime>
  <ScaleCrop>false</ScaleCrop>
  <LinksUpToDate>false</LinksUpToDate>
  <CharactersWithSpaces>2701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2024-04-24T05:56:00Z</dcterms:created>
  <dc:creator>雪 韩</dc:creator>
  <cp:lastModifiedBy>璇</cp:lastModifiedBy>
  <dcterms:modified xsi:type="dcterms:W3CDTF">2024-05-29T07:38:06Z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55CC15B0312647D4808D1EA302BF4F42_12</vt:lpwstr>
  </property>
</Properties>
</file>