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Layout w:type="autofit"/>
        <w:tblCellMar>
          <w:top w:w="0" w:type="dxa"/>
          <w:left w:w="108" w:type="dxa"/>
          <w:bottom w:w="0" w:type="dxa"/>
          <w:right w:w="108" w:type="dxa"/>
        </w:tblCellMar>
      </w:tblPr>
      <w:tblGrid>
        <w:gridCol w:w="499"/>
        <w:gridCol w:w="680"/>
        <w:gridCol w:w="1786"/>
        <w:gridCol w:w="2194"/>
        <w:gridCol w:w="1477"/>
        <w:gridCol w:w="1590"/>
        <w:gridCol w:w="729"/>
        <w:gridCol w:w="751"/>
        <w:gridCol w:w="519"/>
        <w:gridCol w:w="3949"/>
      </w:tblGrid>
      <w:tr>
        <w:tblPrEx>
          <w:tblCellMar>
            <w:top w:w="0" w:type="dxa"/>
            <w:left w:w="108" w:type="dxa"/>
            <w:bottom w:w="0" w:type="dxa"/>
            <w:right w:w="108" w:type="dxa"/>
          </w:tblCellMar>
        </w:tblPrEx>
        <w:trPr>
          <w:trHeight w:val="354" w:hRule="atLeast"/>
        </w:trPr>
        <w:tc>
          <w:tcPr>
            <w:tcW w:w="1046" w:type="pct"/>
            <w:gridSpan w:val="3"/>
            <w:tcBorders>
              <w:top w:val="nil"/>
              <w:left w:val="nil"/>
              <w:bottom w:val="nil"/>
              <w:right w:val="nil"/>
            </w:tcBorders>
            <w:shd w:val="clear" w:color="auto" w:fill="auto"/>
            <w:noWrap/>
            <w:vAlign w:val="center"/>
          </w:tcPr>
          <w:p>
            <w:pPr>
              <w:spacing w:line="480" w:lineRule="exact"/>
              <w:rPr>
                <w:rFonts w:ascii="黑体" w:hAnsi="黑体" w:eastAsia="黑体" w:cs="宋体"/>
                <w:color w:val="000000"/>
                <w:kern w:val="0"/>
                <w:sz w:val="28"/>
                <w:szCs w:val="28"/>
              </w:rPr>
            </w:pPr>
          </w:p>
        </w:tc>
        <w:tc>
          <w:tcPr>
            <w:tcW w:w="774" w:type="pct"/>
            <w:tcBorders>
              <w:top w:val="nil"/>
              <w:left w:val="nil"/>
              <w:bottom w:val="nil"/>
              <w:right w:val="nil"/>
            </w:tcBorders>
            <w:shd w:val="clear" w:color="auto" w:fill="auto"/>
            <w:noWrap/>
            <w:vAlign w:val="center"/>
          </w:tcPr>
          <w:p>
            <w:pPr>
              <w:widowControl/>
              <w:jc w:val="left"/>
              <w:rPr>
                <w:rFonts w:ascii="黑体" w:hAnsi="黑体" w:eastAsia="黑体" w:cs="宋体"/>
                <w:color w:val="000000"/>
                <w:kern w:val="0"/>
                <w:sz w:val="28"/>
                <w:szCs w:val="28"/>
              </w:rPr>
            </w:pPr>
          </w:p>
        </w:tc>
        <w:tc>
          <w:tcPr>
            <w:tcW w:w="521"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561"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57"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65"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82"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394"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490" w:hRule="atLeast"/>
        </w:trPr>
        <w:tc>
          <w:tcPr>
            <w:tcW w:w="5000" w:type="pct"/>
            <w:gridSpan w:val="10"/>
            <w:tcBorders>
              <w:top w:val="nil"/>
              <w:left w:val="nil"/>
              <w:bottom w:val="nil"/>
              <w:right w:val="nil"/>
            </w:tcBorders>
            <w:shd w:val="clear" w:color="auto" w:fill="auto"/>
            <w:noWrap/>
            <w:vAlign w:val="center"/>
          </w:tcPr>
          <w:p>
            <w:pPr>
              <w:widowControl/>
              <w:jc w:val="center"/>
              <w:rPr>
                <w:rFonts w:ascii="方正小标宋简体" w:hAnsi="等线" w:eastAsia="方正小标宋简体" w:cs="宋体"/>
                <w:color w:val="000000"/>
                <w:kern w:val="0"/>
                <w:sz w:val="36"/>
                <w:szCs w:val="36"/>
              </w:rPr>
            </w:pPr>
            <w:bookmarkStart w:id="0" w:name="RANGE!A2:J22"/>
            <w:r>
              <w:rPr>
                <w:rFonts w:hint="eastAsia" w:ascii="方正小标宋简体" w:hAnsi="等线" w:eastAsia="方正小标宋简体" w:cs="宋体"/>
                <w:color w:val="000000"/>
                <w:kern w:val="0"/>
                <w:sz w:val="36"/>
                <w:szCs w:val="36"/>
              </w:rPr>
              <w:t>项目支出绩效自评表</w:t>
            </w:r>
            <w:bookmarkEnd w:id="0"/>
          </w:p>
        </w:tc>
      </w:tr>
      <w:tr>
        <w:tblPrEx>
          <w:tblCellMar>
            <w:top w:w="0" w:type="dxa"/>
            <w:left w:w="108" w:type="dxa"/>
            <w:bottom w:w="0" w:type="dxa"/>
            <w:right w:w="108" w:type="dxa"/>
          </w:tblCellMar>
        </w:tblPrEx>
        <w:trPr>
          <w:trHeight w:val="480" w:hRule="atLeast"/>
        </w:trPr>
        <w:tc>
          <w:tcPr>
            <w:tcW w:w="5000" w:type="pct"/>
            <w:gridSpan w:val="10"/>
            <w:tcBorders>
              <w:top w:val="nil"/>
              <w:left w:val="nil"/>
              <w:bottom w:val="single" w:color="auto" w:sz="4" w:space="0"/>
              <w:right w:val="nil"/>
            </w:tcBorders>
            <w:shd w:val="clear" w:color="auto" w:fill="auto"/>
            <w:noWrap/>
            <w:vAlign w:val="center"/>
          </w:tcPr>
          <w:p>
            <w:pPr>
              <w:widowControl/>
              <w:jc w:val="center"/>
              <w:rPr>
                <w:rFonts w:ascii="仿宋_GB2312" w:hAnsi="等线" w:eastAsia="仿宋_GB2312" w:cs="宋体"/>
                <w:color w:val="000000"/>
                <w:kern w:val="0"/>
                <w:sz w:val="28"/>
                <w:szCs w:val="28"/>
              </w:rPr>
            </w:pPr>
            <w:r>
              <w:rPr>
                <w:rFonts w:hint="eastAsia" w:ascii="仿宋_GB2312" w:hAnsi="等线" w:eastAsia="仿宋_GB2312" w:cs="宋体"/>
                <w:color w:val="000000"/>
                <w:kern w:val="0"/>
                <w:sz w:val="28"/>
                <w:szCs w:val="28"/>
              </w:rPr>
              <w:t>（2023年度）</w:t>
            </w:r>
          </w:p>
        </w:tc>
      </w:tr>
      <w:tr>
        <w:tblPrEx>
          <w:tblCellMar>
            <w:top w:w="0" w:type="dxa"/>
            <w:left w:w="108" w:type="dxa"/>
            <w:bottom w:w="0" w:type="dxa"/>
            <w:right w:w="108" w:type="dxa"/>
          </w:tblCellMar>
        </w:tblPrEx>
        <w:trPr>
          <w:trHeight w:val="280" w:hRule="atLeast"/>
        </w:trPr>
        <w:tc>
          <w:tcPr>
            <w:tcW w:w="4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项目名称</w:t>
            </w:r>
          </w:p>
        </w:tc>
        <w:tc>
          <w:tcPr>
            <w:tcW w:w="4584" w:type="pct"/>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国际合作与交流-在京留学生及港澳台学生国情教育项目</w:t>
            </w:r>
          </w:p>
        </w:tc>
      </w:tr>
      <w:tr>
        <w:tblPrEx>
          <w:tblCellMar>
            <w:top w:w="0" w:type="dxa"/>
            <w:left w:w="108" w:type="dxa"/>
            <w:bottom w:w="0" w:type="dxa"/>
            <w:right w:w="108" w:type="dxa"/>
          </w:tblCellMar>
        </w:tblPrEx>
        <w:trPr>
          <w:trHeight w:val="280" w:hRule="atLeast"/>
        </w:trPr>
        <w:tc>
          <w:tcPr>
            <w:tcW w:w="4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主管部门</w:t>
            </w:r>
          </w:p>
        </w:tc>
        <w:tc>
          <w:tcPr>
            <w:tcW w:w="192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北京市教育委员会</w:t>
            </w:r>
          </w:p>
        </w:tc>
        <w:tc>
          <w:tcPr>
            <w:tcW w:w="56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实施单位</w:t>
            </w:r>
          </w:p>
        </w:tc>
        <w:tc>
          <w:tcPr>
            <w:tcW w:w="2099"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北京舞蹈学院</w:t>
            </w:r>
          </w:p>
        </w:tc>
      </w:tr>
      <w:tr>
        <w:tblPrEx>
          <w:tblCellMar>
            <w:top w:w="0" w:type="dxa"/>
            <w:left w:w="108" w:type="dxa"/>
            <w:bottom w:w="0" w:type="dxa"/>
            <w:right w:w="108" w:type="dxa"/>
          </w:tblCellMar>
        </w:tblPrEx>
        <w:trPr>
          <w:trHeight w:val="280" w:hRule="atLeast"/>
        </w:trPr>
        <w:tc>
          <w:tcPr>
            <w:tcW w:w="4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项目负责人</w:t>
            </w:r>
          </w:p>
        </w:tc>
        <w:tc>
          <w:tcPr>
            <w:tcW w:w="192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覃艳茜</w:t>
            </w:r>
          </w:p>
        </w:tc>
        <w:tc>
          <w:tcPr>
            <w:tcW w:w="56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联系电话</w:t>
            </w:r>
          </w:p>
        </w:tc>
        <w:tc>
          <w:tcPr>
            <w:tcW w:w="2099"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68937373</w:t>
            </w:r>
          </w:p>
        </w:tc>
      </w:tr>
      <w:tr>
        <w:tblPrEx>
          <w:tblCellMar>
            <w:top w:w="0" w:type="dxa"/>
            <w:left w:w="108" w:type="dxa"/>
            <w:bottom w:w="0" w:type="dxa"/>
            <w:right w:w="108" w:type="dxa"/>
          </w:tblCellMar>
        </w:tblPrEx>
        <w:trPr>
          <w:trHeight w:val="280" w:hRule="atLeast"/>
        </w:trPr>
        <w:tc>
          <w:tcPr>
            <w:tcW w:w="41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项目资金（万元）</w:t>
            </w:r>
          </w:p>
        </w:tc>
        <w:tc>
          <w:tcPr>
            <w:tcW w:w="63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7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年初预算数</w:t>
            </w:r>
          </w:p>
        </w:tc>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全年预算数</w:t>
            </w:r>
          </w:p>
        </w:tc>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全年执行数</w:t>
            </w:r>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分值</w:t>
            </w:r>
          </w:p>
        </w:tc>
        <w:tc>
          <w:tcPr>
            <w:tcW w:w="4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执行率</w:t>
            </w:r>
          </w:p>
        </w:tc>
        <w:tc>
          <w:tcPr>
            <w:tcW w:w="13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得分</w:t>
            </w:r>
          </w:p>
        </w:tc>
      </w:tr>
      <w:tr>
        <w:tblPrEx>
          <w:tblCellMar>
            <w:top w:w="0" w:type="dxa"/>
            <w:left w:w="108" w:type="dxa"/>
            <w:bottom w:w="0" w:type="dxa"/>
            <w:right w:w="108" w:type="dxa"/>
          </w:tblCellMar>
        </w:tblPrEx>
        <w:trPr>
          <w:trHeight w:val="28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63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年度资金总额</w:t>
            </w:r>
          </w:p>
        </w:tc>
        <w:tc>
          <w:tcPr>
            <w:tcW w:w="7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78.910000 </w:t>
            </w:r>
          </w:p>
        </w:tc>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78.910000 </w:t>
            </w:r>
          </w:p>
        </w:tc>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78.910000 </w:t>
            </w:r>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w:t>
            </w:r>
          </w:p>
        </w:tc>
        <w:tc>
          <w:tcPr>
            <w:tcW w:w="4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100.00%</w:t>
            </w:r>
          </w:p>
        </w:tc>
        <w:tc>
          <w:tcPr>
            <w:tcW w:w="13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10.00</w:t>
            </w:r>
          </w:p>
        </w:tc>
      </w:tr>
      <w:tr>
        <w:tblPrEx>
          <w:tblCellMar>
            <w:top w:w="0" w:type="dxa"/>
            <w:left w:w="108" w:type="dxa"/>
            <w:bottom w:w="0" w:type="dxa"/>
            <w:right w:w="108" w:type="dxa"/>
          </w:tblCellMar>
        </w:tblPrEx>
        <w:trPr>
          <w:trHeight w:val="28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63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其中：当年财政拨款</w:t>
            </w:r>
          </w:p>
        </w:tc>
        <w:tc>
          <w:tcPr>
            <w:tcW w:w="7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78.910000 </w:t>
            </w:r>
          </w:p>
        </w:tc>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78.910000 </w:t>
            </w:r>
          </w:p>
        </w:tc>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78.910000 </w:t>
            </w:r>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c>
          <w:tcPr>
            <w:tcW w:w="4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100.00%</w:t>
            </w:r>
          </w:p>
        </w:tc>
        <w:tc>
          <w:tcPr>
            <w:tcW w:w="13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r>
      <w:tr>
        <w:tblPrEx>
          <w:tblCellMar>
            <w:top w:w="0" w:type="dxa"/>
            <w:left w:w="108" w:type="dxa"/>
            <w:bottom w:w="0" w:type="dxa"/>
            <w:right w:w="108" w:type="dxa"/>
          </w:tblCellMar>
        </w:tblPrEx>
        <w:trPr>
          <w:trHeight w:val="28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63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上年结转资金</w:t>
            </w:r>
          </w:p>
        </w:tc>
        <w:tc>
          <w:tcPr>
            <w:tcW w:w="7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c>
          <w:tcPr>
            <w:tcW w:w="4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13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r>
      <w:tr>
        <w:tblPrEx>
          <w:tblCellMar>
            <w:top w:w="0" w:type="dxa"/>
            <w:left w:w="108" w:type="dxa"/>
            <w:bottom w:w="0" w:type="dxa"/>
            <w:right w:w="108" w:type="dxa"/>
          </w:tblCellMar>
        </w:tblPrEx>
        <w:trPr>
          <w:trHeight w:val="28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63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其他资金</w:t>
            </w:r>
          </w:p>
        </w:tc>
        <w:tc>
          <w:tcPr>
            <w:tcW w:w="7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c>
          <w:tcPr>
            <w:tcW w:w="4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139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r>
      <w:tr>
        <w:tblPrEx>
          <w:tblCellMar>
            <w:top w:w="0" w:type="dxa"/>
            <w:left w:w="108" w:type="dxa"/>
            <w:bottom w:w="0" w:type="dxa"/>
            <w:right w:w="108" w:type="dxa"/>
          </w:tblCellMar>
        </w:tblPrEx>
        <w:trPr>
          <w:trHeight w:val="280" w:hRule="atLeast"/>
        </w:trPr>
        <w:tc>
          <w:tcPr>
            <w:tcW w:w="1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年度总体目标</w:t>
            </w:r>
          </w:p>
        </w:tc>
        <w:tc>
          <w:tcPr>
            <w:tcW w:w="2164"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预期目标</w:t>
            </w:r>
          </w:p>
        </w:tc>
        <w:tc>
          <w:tcPr>
            <w:tcW w:w="2660"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实际完成情况</w:t>
            </w:r>
          </w:p>
        </w:tc>
      </w:tr>
      <w:tr>
        <w:tblPrEx>
          <w:tblCellMar>
            <w:top w:w="0" w:type="dxa"/>
            <w:left w:w="108" w:type="dxa"/>
            <w:bottom w:w="0" w:type="dxa"/>
            <w:right w:w="108" w:type="dxa"/>
          </w:tblCellMar>
        </w:tblPrEx>
        <w:trPr>
          <w:trHeight w:val="2995" w:hRule="atLeast"/>
        </w:trPr>
        <w:tc>
          <w:tcPr>
            <w:tcW w:w="17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164"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等线" w:eastAsia="仿宋_GB2312" w:cs="宋体"/>
                <w:color w:val="000000"/>
                <w:kern w:val="0"/>
                <w:szCs w:val="21"/>
              </w:rPr>
            </w:pPr>
            <w:r>
              <w:rPr>
                <w:rFonts w:hint="eastAsia" w:ascii="仿宋_GB2312" w:hAnsi="等线" w:eastAsia="仿宋_GB2312" w:cs="宋体"/>
                <w:color w:val="000000"/>
                <w:kern w:val="0"/>
                <w:szCs w:val="21"/>
              </w:rPr>
              <w:t>项目将围绕港澳台学生国情教育目标，充分发挥艺术院校的专业特色，丰富国情教育的多元形式，以艺术创作激发港澳台学生的爱国情怀，成为一次联合多校的艺术创演活动，呈现一系列集合港澳台学生爱国情怀的舞台艺术作品，同时也是港澳台学生国情教育形式的一次积极探索和有益实践。以鲜明的主题引领港澳台学生在艺术创作过程中诠释家国情怀，以艺术院校特有的校园文化精神浸润提升港澳台学生的爱国精神和中华文化认同感，同时也为各艺术高校将国情教育融入校园文化整体建设搭建助力平台，探索建设融入高校美育大格局的港澳台学生国情教育特色项目。该项目的执行除在北京舞蹈学院进行展演外，条件允许情况下拟在首都部分高校进行巡演，扩大项目的辐射效应，同时作为港澳台学生国情教育的艺术素材和资源，助力首都高校港澳台侨学生国情教育工作的推进。</w:t>
            </w:r>
          </w:p>
        </w:tc>
        <w:tc>
          <w:tcPr>
            <w:tcW w:w="2660" w:type="pct"/>
            <w:gridSpan w:val="5"/>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完成港澳台学生国情教育特色项目文化体验营，于7月10日-14日在北京舞蹈学院举行。来自中国传媒大学、北京语言大学、北京农学院、中国戏曲学院等各高校不同专业的港澳台学生及内地学生共26位学员参与了这次为期五天的文化体验营活动。完成创演作品《一双筷子》，于12月23日在北京舞蹈学院黑匣子进行演出。</w:t>
            </w:r>
          </w:p>
        </w:tc>
      </w:tr>
      <w:tr>
        <w:tblPrEx>
          <w:tblCellMar>
            <w:top w:w="0" w:type="dxa"/>
            <w:left w:w="108" w:type="dxa"/>
            <w:bottom w:w="0" w:type="dxa"/>
            <w:right w:w="108" w:type="dxa"/>
          </w:tblCellMar>
        </w:tblPrEx>
        <w:trPr>
          <w:trHeight w:val="560" w:hRule="atLeast"/>
        </w:trPr>
        <w:tc>
          <w:tcPr>
            <w:tcW w:w="1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绩效指标</w:t>
            </w:r>
          </w:p>
        </w:tc>
        <w:tc>
          <w:tcPr>
            <w:tcW w:w="24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一级指标</w:t>
            </w:r>
          </w:p>
        </w:tc>
        <w:tc>
          <w:tcPr>
            <w:tcW w:w="63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二级指标</w:t>
            </w:r>
          </w:p>
        </w:tc>
        <w:tc>
          <w:tcPr>
            <w:tcW w:w="77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三级指标</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年度指标值</w:t>
            </w:r>
          </w:p>
        </w:tc>
        <w:tc>
          <w:tcPr>
            <w:tcW w:w="56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实际完成值</w:t>
            </w:r>
          </w:p>
        </w:tc>
        <w:tc>
          <w:tcPr>
            <w:tcW w:w="25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分值</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得分</w:t>
            </w:r>
          </w:p>
        </w:tc>
        <w:tc>
          <w:tcPr>
            <w:tcW w:w="157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偏差原因分析及改进措施</w:t>
            </w:r>
          </w:p>
        </w:tc>
      </w:tr>
      <w:tr>
        <w:tblPrEx>
          <w:tblCellMar>
            <w:top w:w="0" w:type="dxa"/>
            <w:left w:w="108" w:type="dxa"/>
            <w:bottom w:w="0" w:type="dxa"/>
            <w:right w:w="108" w:type="dxa"/>
          </w:tblCellMar>
        </w:tblPrEx>
        <w:trPr>
          <w:trHeight w:val="985" w:hRule="atLeast"/>
        </w:trPr>
        <w:tc>
          <w:tcPr>
            <w:tcW w:w="17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40" w:type="pct"/>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产出指标</w:t>
            </w:r>
          </w:p>
        </w:tc>
        <w:tc>
          <w:tcPr>
            <w:tcW w:w="6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数量指标</w:t>
            </w:r>
          </w:p>
        </w:tc>
        <w:tc>
          <w:tcPr>
            <w:tcW w:w="77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工作坊</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3场次</w:t>
            </w:r>
          </w:p>
        </w:tc>
        <w:tc>
          <w:tcPr>
            <w:tcW w:w="56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12场次</w:t>
            </w:r>
          </w:p>
        </w:tc>
        <w:tc>
          <w:tcPr>
            <w:tcW w:w="25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8</w:t>
            </w:r>
          </w:p>
        </w:tc>
        <w:tc>
          <w:tcPr>
            <w:tcW w:w="1577"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数量指标</w:t>
            </w:r>
            <w:r>
              <w:rPr>
                <w:rFonts w:hint="eastAsia" w:ascii="仿宋_GB2312" w:hAnsi="等线" w:eastAsia="仿宋_GB2312" w:cs="宋体"/>
                <w:color w:val="000000"/>
                <w:kern w:val="0"/>
                <w:szCs w:val="21"/>
                <w:lang w:val="en-US" w:eastAsia="zh-CN"/>
              </w:rPr>
              <w:t>设置略低</w:t>
            </w:r>
            <w:r>
              <w:rPr>
                <w:rFonts w:hint="eastAsia" w:ascii="仿宋_GB2312" w:hAnsi="等线" w:eastAsia="仿宋_GB2312" w:cs="宋体"/>
                <w:color w:val="000000"/>
                <w:kern w:val="0"/>
                <w:szCs w:val="21"/>
              </w:rPr>
              <w:t>，在自评打分中进行了扣分</w:t>
            </w:r>
          </w:p>
        </w:tc>
      </w:tr>
      <w:tr>
        <w:tblPrEx>
          <w:tblCellMar>
            <w:top w:w="0" w:type="dxa"/>
            <w:left w:w="108" w:type="dxa"/>
            <w:bottom w:w="0" w:type="dxa"/>
            <w:right w:w="108" w:type="dxa"/>
          </w:tblCellMar>
        </w:tblPrEx>
        <w:trPr>
          <w:trHeight w:val="580" w:hRule="atLeast"/>
        </w:trPr>
        <w:tc>
          <w:tcPr>
            <w:tcW w:w="17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40" w:type="pct"/>
            <w:vMerge w:val="continue"/>
            <w:tcBorders>
              <w:left w:val="single" w:color="auto" w:sz="4" w:space="0"/>
              <w:right w:val="single" w:color="auto" w:sz="4" w:space="0"/>
            </w:tcBorders>
            <w:shd w:val="clear" w:color="auto" w:fill="auto"/>
            <w:vAlign w:val="center"/>
          </w:tcPr>
          <w:p>
            <w:pPr>
              <w:widowControl/>
              <w:jc w:val="left"/>
              <w:rPr>
                <w:rFonts w:ascii="仿宋_GB2312" w:hAnsi="等线" w:eastAsia="仿宋_GB2312" w:cs="宋体"/>
                <w:color w:val="000000"/>
                <w:kern w:val="0"/>
                <w:szCs w:val="21"/>
              </w:rPr>
            </w:pPr>
          </w:p>
        </w:tc>
        <w:tc>
          <w:tcPr>
            <w:tcW w:w="63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77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演出</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2场次</w:t>
            </w:r>
          </w:p>
        </w:tc>
        <w:tc>
          <w:tcPr>
            <w:tcW w:w="56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2场次</w:t>
            </w:r>
          </w:p>
        </w:tc>
        <w:tc>
          <w:tcPr>
            <w:tcW w:w="25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w:t>
            </w:r>
          </w:p>
        </w:tc>
        <w:tc>
          <w:tcPr>
            <w:tcW w:w="157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无</w:t>
            </w:r>
          </w:p>
        </w:tc>
      </w:tr>
      <w:tr>
        <w:tblPrEx>
          <w:tblCellMar>
            <w:top w:w="0" w:type="dxa"/>
            <w:left w:w="108" w:type="dxa"/>
            <w:bottom w:w="0" w:type="dxa"/>
            <w:right w:w="108" w:type="dxa"/>
          </w:tblCellMar>
        </w:tblPrEx>
        <w:trPr>
          <w:trHeight w:val="665" w:hRule="atLeast"/>
        </w:trPr>
        <w:tc>
          <w:tcPr>
            <w:tcW w:w="17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40" w:type="pct"/>
            <w:vMerge w:val="continue"/>
            <w:tcBorders>
              <w:left w:val="single" w:color="auto" w:sz="4" w:space="0"/>
              <w:right w:val="single" w:color="auto" w:sz="4" w:space="0"/>
            </w:tcBorders>
            <w:shd w:val="clear" w:color="auto" w:fill="auto"/>
            <w:vAlign w:val="center"/>
          </w:tcPr>
          <w:p>
            <w:pPr>
              <w:widowControl/>
              <w:jc w:val="left"/>
              <w:rPr>
                <w:rFonts w:ascii="仿宋_GB2312" w:hAnsi="等线" w:eastAsia="仿宋_GB2312" w:cs="宋体"/>
                <w:color w:val="000000"/>
                <w:kern w:val="0"/>
                <w:szCs w:val="21"/>
              </w:rPr>
            </w:pPr>
          </w:p>
        </w:tc>
        <w:tc>
          <w:tcPr>
            <w:tcW w:w="63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质量指标</w:t>
            </w:r>
          </w:p>
        </w:tc>
        <w:tc>
          <w:tcPr>
            <w:tcW w:w="77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首创港澳台生国情教育特色项目</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优</w:t>
            </w:r>
          </w:p>
        </w:tc>
        <w:tc>
          <w:tcPr>
            <w:tcW w:w="56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优</w:t>
            </w:r>
          </w:p>
        </w:tc>
        <w:tc>
          <w:tcPr>
            <w:tcW w:w="25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9</w:t>
            </w:r>
          </w:p>
        </w:tc>
        <w:tc>
          <w:tcPr>
            <w:tcW w:w="1577"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质量指标设置</w:t>
            </w:r>
            <w:r>
              <w:rPr>
                <w:rFonts w:hint="eastAsia" w:ascii="仿宋_GB2312" w:hAnsi="等线" w:eastAsia="仿宋_GB2312" w:cs="宋体"/>
                <w:color w:val="000000"/>
                <w:kern w:val="0"/>
                <w:szCs w:val="21"/>
                <w:lang w:val="en-US" w:eastAsia="zh-CN"/>
              </w:rPr>
              <w:t>不够具体</w:t>
            </w:r>
            <w:r>
              <w:rPr>
                <w:rFonts w:hint="eastAsia" w:ascii="仿宋_GB2312" w:hAnsi="等线" w:eastAsia="仿宋_GB2312" w:cs="宋体"/>
                <w:color w:val="000000"/>
                <w:kern w:val="0"/>
                <w:szCs w:val="21"/>
              </w:rPr>
              <w:t>，今后完善质量指标的设置</w:t>
            </w:r>
          </w:p>
        </w:tc>
      </w:tr>
      <w:tr>
        <w:tblPrEx>
          <w:tblCellMar>
            <w:top w:w="0" w:type="dxa"/>
            <w:left w:w="108" w:type="dxa"/>
            <w:bottom w:w="0" w:type="dxa"/>
            <w:right w:w="108" w:type="dxa"/>
          </w:tblCellMar>
        </w:tblPrEx>
        <w:trPr>
          <w:trHeight w:val="620" w:hRule="atLeast"/>
        </w:trPr>
        <w:tc>
          <w:tcPr>
            <w:tcW w:w="17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40" w:type="pct"/>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仿宋_GB2312" w:hAnsi="等线" w:eastAsia="仿宋_GB2312" w:cs="宋体"/>
                <w:color w:val="000000"/>
                <w:kern w:val="0"/>
                <w:szCs w:val="21"/>
              </w:rPr>
            </w:pPr>
          </w:p>
        </w:tc>
        <w:tc>
          <w:tcPr>
            <w:tcW w:w="63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时效指标</w:t>
            </w:r>
          </w:p>
        </w:tc>
        <w:tc>
          <w:tcPr>
            <w:tcW w:w="77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12月份前完成</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≤12月</w:t>
            </w:r>
          </w:p>
        </w:tc>
        <w:tc>
          <w:tcPr>
            <w:tcW w:w="56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按时完成</w:t>
            </w:r>
          </w:p>
        </w:tc>
        <w:tc>
          <w:tcPr>
            <w:tcW w:w="25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9</w:t>
            </w:r>
          </w:p>
        </w:tc>
        <w:tc>
          <w:tcPr>
            <w:tcW w:w="1577"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时效指标设置的比较笼统，今后完善时效指标的设置</w:t>
            </w:r>
          </w:p>
        </w:tc>
      </w:tr>
      <w:tr>
        <w:tblPrEx>
          <w:tblCellMar>
            <w:top w:w="0" w:type="dxa"/>
            <w:left w:w="108" w:type="dxa"/>
            <w:bottom w:w="0" w:type="dxa"/>
            <w:right w:w="108" w:type="dxa"/>
          </w:tblCellMar>
        </w:tblPrEx>
        <w:trPr>
          <w:trHeight w:val="580" w:hRule="atLeast"/>
        </w:trPr>
        <w:tc>
          <w:tcPr>
            <w:tcW w:w="17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成本指标</w:t>
            </w:r>
          </w:p>
        </w:tc>
        <w:tc>
          <w:tcPr>
            <w:tcW w:w="63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经济成本指标</w:t>
            </w:r>
          </w:p>
        </w:tc>
        <w:tc>
          <w:tcPr>
            <w:tcW w:w="77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严格控制预算内</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r>
              <w:rPr>
                <w:rFonts w:ascii="仿宋_GB2312" w:hAnsi="等线" w:eastAsia="仿宋_GB2312" w:cs="宋体"/>
                <w:color w:val="000000"/>
                <w:kern w:val="0"/>
                <w:szCs w:val="21"/>
              </w:rPr>
              <w:t>78.91万元</w:t>
            </w:r>
          </w:p>
        </w:tc>
        <w:tc>
          <w:tcPr>
            <w:tcW w:w="56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78.91万元</w:t>
            </w:r>
          </w:p>
        </w:tc>
        <w:tc>
          <w:tcPr>
            <w:tcW w:w="25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20</w:t>
            </w:r>
          </w:p>
        </w:tc>
        <w:tc>
          <w:tcPr>
            <w:tcW w:w="157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无</w:t>
            </w:r>
          </w:p>
        </w:tc>
      </w:tr>
      <w:tr>
        <w:tblPrEx>
          <w:tblCellMar>
            <w:top w:w="0" w:type="dxa"/>
            <w:left w:w="108" w:type="dxa"/>
            <w:bottom w:w="0" w:type="dxa"/>
            <w:right w:w="108" w:type="dxa"/>
          </w:tblCellMar>
        </w:tblPrEx>
        <w:trPr>
          <w:trHeight w:val="805" w:hRule="atLeast"/>
        </w:trPr>
        <w:tc>
          <w:tcPr>
            <w:tcW w:w="17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4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效益指标</w:t>
            </w:r>
          </w:p>
        </w:tc>
        <w:tc>
          <w:tcPr>
            <w:tcW w:w="63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社会效益指标</w:t>
            </w:r>
          </w:p>
        </w:tc>
        <w:tc>
          <w:tcPr>
            <w:tcW w:w="77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社会影响</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优</w:t>
            </w:r>
          </w:p>
        </w:tc>
        <w:tc>
          <w:tcPr>
            <w:tcW w:w="56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优，媒体推送7条次</w:t>
            </w:r>
          </w:p>
        </w:tc>
        <w:tc>
          <w:tcPr>
            <w:tcW w:w="25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等线" w:eastAsia="仿宋_GB2312" w:cs="宋体"/>
                <w:color w:val="000000"/>
                <w:kern w:val="0"/>
                <w:szCs w:val="21"/>
              </w:rPr>
            </w:pPr>
            <w:r>
              <w:rPr>
                <w:rFonts w:hint="eastAsia" w:ascii="仿宋_GB2312" w:hAnsi="等线" w:eastAsia="仿宋_GB2312" w:cs="宋体"/>
                <w:color w:val="000000"/>
                <w:kern w:val="0"/>
                <w:szCs w:val="21"/>
              </w:rPr>
              <w:t>16</w:t>
            </w:r>
          </w:p>
        </w:tc>
        <w:tc>
          <w:tcPr>
            <w:tcW w:w="1577"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社会效益指标设置过于笼统，今后完善效益指标的设置</w:t>
            </w:r>
          </w:p>
        </w:tc>
      </w:tr>
      <w:tr>
        <w:tblPrEx>
          <w:tblCellMar>
            <w:top w:w="0" w:type="dxa"/>
            <w:left w:w="108" w:type="dxa"/>
            <w:bottom w:w="0" w:type="dxa"/>
            <w:right w:w="108" w:type="dxa"/>
          </w:tblCellMar>
        </w:tblPrEx>
        <w:trPr>
          <w:trHeight w:val="970" w:hRule="atLeast"/>
        </w:trPr>
        <w:tc>
          <w:tcPr>
            <w:tcW w:w="17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4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满意度指标</w:t>
            </w:r>
          </w:p>
        </w:tc>
        <w:tc>
          <w:tcPr>
            <w:tcW w:w="63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服务对象满意度指标</w:t>
            </w:r>
          </w:p>
        </w:tc>
        <w:tc>
          <w:tcPr>
            <w:tcW w:w="77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师生满意度</w:t>
            </w:r>
          </w:p>
        </w:tc>
        <w:tc>
          <w:tcPr>
            <w:tcW w:w="52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≥95%</w:t>
            </w:r>
          </w:p>
        </w:tc>
        <w:tc>
          <w:tcPr>
            <w:tcW w:w="56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100%</w:t>
            </w:r>
          </w:p>
        </w:tc>
        <w:tc>
          <w:tcPr>
            <w:tcW w:w="25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8</w:t>
            </w:r>
          </w:p>
        </w:tc>
        <w:tc>
          <w:tcPr>
            <w:tcW w:w="1577"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满意度资料不够完善，今后完善满意度调查流</w:t>
            </w:r>
            <w:bookmarkStart w:id="1" w:name="_GoBack"/>
            <w:bookmarkEnd w:id="1"/>
            <w:r>
              <w:rPr>
                <w:rFonts w:hint="eastAsia" w:ascii="仿宋_GB2312" w:hAnsi="等线" w:eastAsia="仿宋_GB2312" w:cs="宋体"/>
                <w:color w:val="000000"/>
                <w:kern w:val="0"/>
                <w:szCs w:val="21"/>
              </w:rPr>
              <w:t xml:space="preserve">程和分析 </w:t>
            </w:r>
          </w:p>
        </w:tc>
      </w:tr>
      <w:tr>
        <w:tblPrEx>
          <w:tblCellMar>
            <w:top w:w="0" w:type="dxa"/>
            <w:left w:w="108" w:type="dxa"/>
            <w:bottom w:w="0" w:type="dxa"/>
            <w:right w:w="108" w:type="dxa"/>
          </w:tblCellMar>
        </w:tblPrEx>
        <w:trPr>
          <w:trHeight w:val="450" w:hRule="atLeast"/>
        </w:trPr>
        <w:tc>
          <w:tcPr>
            <w:tcW w:w="2901"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总分</w:t>
            </w:r>
          </w:p>
        </w:tc>
        <w:tc>
          <w:tcPr>
            <w:tcW w:w="25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等线" w:eastAsia="仿宋_GB2312" w:cs="宋体"/>
                <w:color w:val="000000"/>
                <w:kern w:val="0"/>
                <w:szCs w:val="21"/>
              </w:rPr>
            </w:pPr>
            <w:r>
              <w:rPr>
                <w:rFonts w:hint="eastAsia" w:ascii="仿宋_GB2312" w:hAnsi="等线" w:eastAsia="仿宋_GB2312" w:cs="宋体"/>
                <w:color w:val="000000"/>
                <w:kern w:val="0"/>
                <w:szCs w:val="21"/>
              </w:rPr>
              <w:t>90</w:t>
            </w:r>
          </w:p>
        </w:tc>
        <w:tc>
          <w:tcPr>
            <w:tcW w:w="1577"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B402EF75-00C2-4D71-9849-18968BF5564E}"/>
  </w:font>
  <w:font w:name="方正小标宋简体">
    <w:panose1 w:val="02000000000000000000"/>
    <w:charset w:val="86"/>
    <w:family w:val="roman"/>
    <w:pitch w:val="default"/>
    <w:sig w:usb0="00000001" w:usb1="08000000" w:usb2="00000000" w:usb3="00000000" w:csb0="00040000" w:csb1="00000000"/>
    <w:embedRegular r:id="rId2" w:fontKey="{1FF21BC7-96F8-41DE-A8E1-C853F9E03914}"/>
  </w:font>
  <w:font w:name="仿宋_GB2312">
    <w:panose1 w:val="02010609030101010101"/>
    <w:charset w:val="86"/>
    <w:family w:val="modern"/>
    <w:pitch w:val="default"/>
    <w:sig w:usb0="00000001" w:usb1="080E0000" w:usb2="00000000" w:usb3="00000000" w:csb0="00040000" w:csb1="00000000"/>
    <w:embedRegular r:id="rId3" w:fontKey="{76807D08-E93E-4BB6-9E2C-94DFD6D5CE5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U5ZWQxMzNiMmNhNWVmNDYzMTQzZmNiZDZmMGU0MzUifQ=="/>
  </w:docVars>
  <w:rsids>
    <w:rsidRoot w:val="009D4842"/>
    <w:rsid w:val="00062DC8"/>
    <w:rsid w:val="000D7039"/>
    <w:rsid w:val="00116308"/>
    <w:rsid w:val="001A1AEB"/>
    <w:rsid w:val="0028797C"/>
    <w:rsid w:val="002A3A01"/>
    <w:rsid w:val="002F35BB"/>
    <w:rsid w:val="00306136"/>
    <w:rsid w:val="0032269A"/>
    <w:rsid w:val="00394512"/>
    <w:rsid w:val="003A3E68"/>
    <w:rsid w:val="003B5925"/>
    <w:rsid w:val="004719B1"/>
    <w:rsid w:val="004A3B9D"/>
    <w:rsid w:val="004B094B"/>
    <w:rsid w:val="004D5FA8"/>
    <w:rsid w:val="004F487A"/>
    <w:rsid w:val="004F6DC9"/>
    <w:rsid w:val="00501EFC"/>
    <w:rsid w:val="00540820"/>
    <w:rsid w:val="005D3466"/>
    <w:rsid w:val="00641218"/>
    <w:rsid w:val="00667FA6"/>
    <w:rsid w:val="006D0FF6"/>
    <w:rsid w:val="006F3BF2"/>
    <w:rsid w:val="006F44B9"/>
    <w:rsid w:val="007E6FCA"/>
    <w:rsid w:val="00835C8E"/>
    <w:rsid w:val="00867328"/>
    <w:rsid w:val="008D57B7"/>
    <w:rsid w:val="0090202B"/>
    <w:rsid w:val="00973889"/>
    <w:rsid w:val="009D4842"/>
    <w:rsid w:val="009E2AEF"/>
    <w:rsid w:val="00A04BCB"/>
    <w:rsid w:val="00A62940"/>
    <w:rsid w:val="00A868F3"/>
    <w:rsid w:val="00B3431F"/>
    <w:rsid w:val="00B56186"/>
    <w:rsid w:val="00C16D86"/>
    <w:rsid w:val="00C23654"/>
    <w:rsid w:val="00CF130B"/>
    <w:rsid w:val="00CF7D9D"/>
    <w:rsid w:val="00D00C01"/>
    <w:rsid w:val="00D11F15"/>
    <w:rsid w:val="00D600CF"/>
    <w:rsid w:val="00D6607C"/>
    <w:rsid w:val="00DE5746"/>
    <w:rsid w:val="00E5069F"/>
    <w:rsid w:val="00FE2D1B"/>
    <w:rsid w:val="60FA2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197</Words>
  <Characters>1126</Characters>
  <Lines>9</Lines>
  <Paragraphs>2</Paragraphs>
  <TotalTime>35</TotalTime>
  <ScaleCrop>false</ScaleCrop>
  <LinksUpToDate>false</LinksUpToDate>
  <CharactersWithSpaces>1321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2024-04-24T05:56:00Z</dcterms:created>
  <dc:creator>雪 韩</dc:creator>
  <cp:lastModifiedBy>璇</cp:lastModifiedBy>
  <dcterms:modified xsi:type="dcterms:W3CDTF">2024-05-29T07:33:06Z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CCD5A186D50B4616BA4A4B089D986A19_12</vt:lpwstr>
  </property>
</Properties>
</file>