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40E1" w:rsidRDefault="003840E1">
      <w:pPr>
        <w:jc w:val="center"/>
        <w:rPr>
          <w:rFonts w:ascii="仿宋_GB2312" w:eastAsia="仿宋_GB2312" w:hint="eastAsia"/>
          <w:b/>
          <w:sz w:val="32"/>
          <w:szCs w:val="32"/>
        </w:rPr>
      </w:pPr>
    </w:p>
    <w:p w:rsidR="003840E1" w:rsidRDefault="003840E1">
      <w:pPr>
        <w:jc w:val="center"/>
        <w:rPr>
          <w:rFonts w:ascii="黑体" w:eastAsia="黑体"/>
          <w:sz w:val="72"/>
          <w:szCs w:val="72"/>
        </w:rPr>
      </w:pPr>
    </w:p>
    <w:p w:rsidR="003840E1" w:rsidRDefault="003840E1">
      <w:pPr>
        <w:jc w:val="center"/>
        <w:rPr>
          <w:rFonts w:ascii="黑体" w:eastAsia="黑体"/>
          <w:sz w:val="72"/>
          <w:szCs w:val="72"/>
        </w:rPr>
      </w:pPr>
    </w:p>
    <w:p w:rsidR="003840E1" w:rsidRDefault="003840E1">
      <w:pPr>
        <w:jc w:val="center"/>
        <w:rPr>
          <w:rFonts w:ascii="黑体" w:eastAsia="黑体"/>
          <w:sz w:val="72"/>
          <w:szCs w:val="72"/>
        </w:rPr>
      </w:pPr>
    </w:p>
    <w:p w:rsidR="003840E1" w:rsidRDefault="003840E1">
      <w:pPr>
        <w:jc w:val="center"/>
        <w:rPr>
          <w:rFonts w:ascii="黑体" w:eastAsia="黑体"/>
          <w:sz w:val="72"/>
          <w:szCs w:val="72"/>
        </w:rPr>
      </w:pPr>
      <w:bookmarkStart w:id="0" w:name="_GoBack"/>
      <w:bookmarkEnd w:id="0"/>
    </w:p>
    <w:p w:rsidR="003840E1" w:rsidRDefault="001740B7">
      <w:pPr>
        <w:jc w:val="center"/>
        <w:rPr>
          <w:rFonts w:ascii="黑体" w:eastAsia="黑体"/>
          <w:sz w:val="72"/>
          <w:szCs w:val="72"/>
        </w:rPr>
      </w:pPr>
      <w:r>
        <w:rPr>
          <w:rFonts w:ascii="黑体" w:eastAsia="黑体" w:hint="eastAsia"/>
          <w:sz w:val="72"/>
          <w:szCs w:val="72"/>
        </w:rPr>
        <w:t>2023年度部门决算</w:t>
      </w:r>
      <w:r w:rsidR="00117557">
        <w:rPr>
          <w:rFonts w:ascii="黑体" w:eastAsia="黑体" w:hint="eastAsia"/>
          <w:sz w:val="72"/>
          <w:szCs w:val="72"/>
        </w:rPr>
        <w:t>公开</w:t>
      </w:r>
    </w:p>
    <w:p w:rsidR="003840E1" w:rsidRDefault="003840E1">
      <w:pPr>
        <w:jc w:val="center"/>
        <w:rPr>
          <w:rFonts w:ascii="黑体" w:eastAsia="黑体"/>
          <w:sz w:val="52"/>
          <w:szCs w:val="52"/>
        </w:rPr>
      </w:pPr>
    </w:p>
    <w:p w:rsidR="003840E1" w:rsidRDefault="003840E1">
      <w:pPr>
        <w:jc w:val="center"/>
        <w:rPr>
          <w:rFonts w:ascii="黑体" w:eastAsia="黑体"/>
          <w:sz w:val="52"/>
          <w:szCs w:val="52"/>
        </w:rPr>
      </w:pPr>
    </w:p>
    <w:p w:rsidR="003840E1" w:rsidRPr="00E83AFB" w:rsidRDefault="00E83AFB">
      <w:pPr>
        <w:jc w:val="center"/>
        <w:rPr>
          <w:rFonts w:asciiTheme="minorEastAsia" w:eastAsiaTheme="minorEastAsia" w:hAnsiTheme="minorEastAsia"/>
          <w:sz w:val="32"/>
          <w:szCs w:val="32"/>
        </w:rPr>
      </w:pPr>
      <w:r w:rsidRPr="00E83AFB">
        <w:rPr>
          <w:rFonts w:asciiTheme="minorEastAsia" w:eastAsiaTheme="minorEastAsia" w:hAnsiTheme="minorEastAsia" w:hint="eastAsia"/>
          <w:sz w:val="32"/>
          <w:szCs w:val="32"/>
        </w:rPr>
        <w:t>单位名称：北京印刷学院</w:t>
      </w:r>
    </w:p>
    <w:p w:rsidR="003840E1" w:rsidRDefault="003840E1">
      <w:pPr>
        <w:jc w:val="center"/>
        <w:rPr>
          <w:rFonts w:ascii="黑体" w:eastAsia="黑体"/>
          <w:sz w:val="52"/>
          <w:szCs w:val="52"/>
        </w:rPr>
      </w:pPr>
    </w:p>
    <w:p w:rsidR="003840E1" w:rsidRDefault="003840E1">
      <w:pPr>
        <w:jc w:val="center"/>
        <w:rPr>
          <w:rFonts w:ascii="黑体" w:eastAsia="黑体"/>
          <w:sz w:val="32"/>
          <w:szCs w:val="32"/>
        </w:rPr>
      </w:pPr>
    </w:p>
    <w:p w:rsidR="003840E1" w:rsidRDefault="001740B7">
      <w:pPr>
        <w:spacing w:line="500" w:lineRule="exact"/>
        <w:ind w:firstLine="645"/>
        <w:jc w:val="center"/>
        <w:rPr>
          <w:rFonts w:ascii="宋体" w:hAnsi="宋体" w:cs="宋体"/>
          <w:b/>
          <w:bCs/>
          <w:kern w:val="0"/>
          <w:sz w:val="44"/>
          <w:szCs w:val="36"/>
        </w:rPr>
      </w:pPr>
      <w:r>
        <w:rPr>
          <w:rFonts w:ascii="宋体" w:hAnsi="宋体" w:cs="宋体" w:hint="eastAsia"/>
          <w:b/>
          <w:bCs/>
          <w:kern w:val="0"/>
          <w:sz w:val="44"/>
          <w:szCs w:val="36"/>
        </w:rPr>
        <w:lastRenderedPageBreak/>
        <w:t>目    录</w:t>
      </w:r>
    </w:p>
    <w:p w:rsidR="003840E1" w:rsidRDefault="003840E1">
      <w:pPr>
        <w:spacing w:line="500" w:lineRule="exact"/>
        <w:ind w:firstLine="645"/>
        <w:jc w:val="center"/>
        <w:rPr>
          <w:rFonts w:ascii="宋体" w:hAnsi="宋体" w:cs="宋体"/>
          <w:b/>
          <w:bCs/>
          <w:kern w:val="0"/>
          <w:sz w:val="36"/>
          <w:szCs w:val="36"/>
        </w:rPr>
      </w:pPr>
    </w:p>
    <w:p w:rsidR="003840E1" w:rsidRDefault="001740B7">
      <w:pPr>
        <w:tabs>
          <w:tab w:val="center" w:pos="6979"/>
        </w:tabs>
        <w:spacing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第一部分 2023年度部门决算报表</w:t>
      </w:r>
    </w:p>
    <w:p w:rsidR="003840E1" w:rsidRDefault="001740B7">
      <w:pPr>
        <w:tabs>
          <w:tab w:val="center" w:pos="6979"/>
        </w:tabs>
        <w:spacing w:line="500" w:lineRule="exact"/>
        <w:ind w:firstLineChars="600" w:firstLine="2400"/>
        <w:jc w:val="left"/>
        <w:rPr>
          <w:rFonts w:ascii="仿宋_GB2312" w:eastAsia="仿宋_GB2312" w:hAnsi="仿宋"/>
          <w:spacing w:val="40"/>
          <w:sz w:val="32"/>
          <w:szCs w:val="32"/>
        </w:rPr>
      </w:pPr>
      <w:r>
        <w:rPr>
          <w:rFonts w:ascii="仿宋_GB2312" w:eastAsia="仿宋_GB2312" w:hAnsi="仿宋" w:cs="宋体" w:hint="eastAsia"/>
          <w:bCs/>
          <w:spacing w:val="40"/>
          <w:kern w:val="0"/>
          <w:sz w:val="32"/>
          <w:szCs w:val="32"/>
        </w:rPr>
        <w:t>一、收入支出决算总表</w:t>
      </w:r>
    </w:p>
    <w:p w:rsidR="003840E1" w:rsidRDefault="001740B7">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二、收入决算表</w:t>
      </w:r>
    </w:p>
    <w:p w:rsidR="003840E1" w:rsidRDefault="001740B7">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三、支出决算表</w:t>
      </w:r>
    </w:p>
    <w:p w:rsidR="003840E1" w:rsidRDefault="001740B7">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四、财政拨款收入支出决算总表</w:t>
      </w:r>
    </w:p>
    <w:p w:rsidR="003840E1" w:rsidRDefault="001740B7">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五、一般公共预算财政拨款收入支出决算表</w:t>
      </w:r>
    </w:p>
    <w:p w:rsidR="003840E1" w:rsidRDefault="001740B7">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六、一般公共预算财政拨款支出决算表</w:t>
      </w:r>
    </w:p>
    <w:p w:rsidR="003840E1" w:rsidRDefault="001740B7">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七、一般公共预算财政拨款</w:t>
      </w:r>
      <w:r>
        <w:rPr>
          <w:rFonts w:ascii="仿宋_GB2312" w:eastAsia="仿宋_GB2312" w:hAnsi="仿宋" w:cs="宋体"/>
          <w:bCs/>
          <w:spacing w:val="40"/>
          <w:kern w:val="0"/>
          <w:sz w:val="32"/>
          <w:szCs w:val="32"/>
        </w:rPr>
        <w:t>基本支出决算表</w:t>
      </w:r>
    </w:p>
    <w:p w:rsidR="003840E1" w:rsidRDefault="001740B7">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八</w:t>
      </w:r>
      <w:r>
        <w:rPr>
          <w:rFonts w:ascii="仿宋_GB2312" w:eastAsia="仿宋_GB2312" w:hAnsi="仿宋" w:cs="宋体"/>
          <w:bCs/>
          <w:spacing w:val="40"/>
          <w:kern w:val="0"/>
          <w:sz w:val="32"/>
          <w:szCs w:val="32"/>
        </w:rPr>
        <w:t>、</w:t>
      </w:r>
      <w:r>
        <w:rPr>
          <w:rFonts w:ascii="仿宋_GB2312" w:eastAsia="仿宋_GB2312" w:hAnsi="仿宋" w:cs="宋体" w:hint="eastAsia"/>
          <w:bCs/>
          <w:spacing w:val="40"/>
          <w:kern w:val="0"/>
          <w:sz w:val="32"/>
          <w:szCs w:val="32"/>
        </w:rPr>
        <w:t>政府性基金预算财政拨款收入支出决算表</w:t>
      </w:r>
    </w:p>
    <w:p w:rsidR="003840E1" w:rsidRDefault="001740B7">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九、</w:t>
      </w:r>
      <w:r>
        <w:rPr>
          <w:rFonts w:ascii="仿宋_GB2312" w:eastAsia="仿宋_GB2312" w:hAnsi="仿宋" w:cs="宋体"/>
          <w:bCs/>
          <w:spacing w:val="40"/>
          <w:kern w:val="0"/>
          <w:sz w:val="32"/>
          <w:szCs w:val="32"/>
        </w:rPr>
        <w:t>政府性基金</w:t>
      </w:r>
      <w:r>
        <w:rPr>
          <w:rFonts w:ascii="仿宋_GB2312" w:eastAsia="仿宋_GB2312" w:hAnsi="仿宋" w:cs="宋体" w:hint="eastAsia"/>
          <w:bCs/>
          <w:spacing w:val="40"/>
          <w:kern w:val="0"/>
          <w:sz w:val="32"/>
          <w:szCs w:val="32"/>
        </w:rPr>
        <w:t>预算</w:t>
      </w:r>
      <w:r>
        <w:rPr>
          <w:rFonts w:ascii="仿宋_GB2312" w:eastAsia="仿宋_GB2312" w:hAnsi="仿宋" w:cs="宋体"/>
          <w:bCs/>
          <w:spacing w:val="40"/>
          <w:kern w:val="0"/>
          <w:sz w:val="32"/>
          <w:szCs w:val="32"/>
        </w:rPr>
        <w:t>财政拨款基本支出决算表</w:t>
      </w:r>
    </w:p>
    <w:p w:rsidR="003840E1" w:rsidRDefault="001740B7">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十、国有资本经营预算财政拨款支出决算表</w:t>
      </w:r>
    </w:p>
    <w:p w:rsidR="003840E1" w:rsidRDefault="001740B7">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十一、财政拨款“三公”经费支出决算表</w:t>
      </w:r>
    </w:p>
    <w:p w:rsidR="003840E1" w:rsidRDefault="001740B7">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十二、政府采购情况表</w:t>
      </w:r>
    </w:p>
    <w:p w:rsidR="003840E1" w:rsidRDefault="001740B7">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十三、政府购买服务决算公开情况表</w:t>
      </w:r>
    </w:p>
    <w:p w:rsidR="003840E1" w:rsidRDefault="001740B7">
      <w:pPr>
        <w:tabs>
          <w:tab w:val="center" w:pos="6979"/>
        </w:tabs>
        <w:spacing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 xml:space="preserve">第二部分 </w:t>
      </w:r>
      <w:r>
        <w:rPr>
          <w:rFonts w:ascii="宋体" w:hAnsi="宋体" w:hint="eastAsia"/>
          <w:spacing w:val="40"/>
          <w:sz w:val="32"/>
          <w:szCs w:val="32"/>
        </w:rPr>
        <w:t>2023年度部门决算说明</w:t>
      </w:r>
    </w:p>
    <w:p w:rsidR="003840E1" w:rsidRDefault="001740B7">
      <w:pPr>
        <w:tabs>
          <w:tab w:val="center" w:pos="6979"/>
        </w:tabs>
        <w:spacing w:line="500" w:lineRule="exact"/>
        <w:ind w:firstLineChars="400" w:firstLine="1600"/>
        <w:jc w:val="left"/>
        <w:rPr>
          <w:rFonts w:ascii="宋体" w:hAnsi="宋体" w:cs="宋体"/>
          <w:spacing w:val="40"/>
          <w:kern w:val="0"/>
          <w:sz w:val="32"/>
          <w:szCs w:val="32"/>
        </w:rPr>
      </w:pPr>
      <w:r>
        <w:rPr>
          <w:rFonts w:ascii="宋体" w:hAnsi="宋体" w:cs="宋体" w:hint="eastAsia"/>
          <w:bCs/>
          <w:spacing w:val="40"/>
          <w:kern w:val="0"/>
          <w:sz w:val="32"/>
          <w:szCs w:val="32"/>
        </w:rPr>
        <w:t xml:space="preserve">第三部分 </w:t>
      </w:r>
      <w:r>
        <w:rPr>
          <w:rFonts w:ascii="宋体" w:hAnsi="宋体" w:hint="eastAsia"/>
          <w:spacing w:val="40"/>
          <w:sz w:val="32"/>
          <w:szCs w:val="32"/>
        </w:rPr>
        <w:t>2023年度</w:t>
      </w:r>
      <w:r>
        <w:rPr>
          <w:rFonts w:ascii="宋体" w:hAnsi="宋体" w:cs="宋体" w:hint="eastAsia"/>
          <w:spacing w:val="40"/>
          <w:kern w:val="0"/>
          <w:sz w:val="32"/>
          <w:szCs w:val="32"/>
        </w:rPr>
        <w:t>其他重要事项的情况说明</w:t>
      </w:r>
    </w:p>
    <w:p w:rsidR="003840E1" w:rsidRDefault="001740B7">
      <w:pPr>
        <w:tabs>
          <w:tab w:val="center" w:pos="6979"/>
        </w:tabs>
        <w:spacing w:line="500" w:lineRule="exact"/>
        <w:ind w:firstLineChars="400" w:firstLine="1600"/>
        <w:jc w:val="left"/>
        <w:rPr>
          <w:rFonts w:ascii="宋体" w:hAnsi="宋体" w:cs="宋体"/>
          <w:spacing w:val="40"/>
          <w:kern w:val="0"/>
          <w:sz w:val="36"/>
          <w:szCs w:val="32"/>
        </w:rPr>
      </w:pPr>
      <w:r>
        <w:rPr>
          <w:rFonts w:ascii="宋体" w:hAnsi="宋体" w:cs="宋体" w:hint="eastAsia"/>
          <w:spacing w:val="40"/>
          <w:kern w:val="0"/>
          <w:sz w:val="32"/>
          <w:szCs w:val="32"/>
        </w:rPr>
        <w:t>第四部分 2023年度部门绩效评价情况</w:t>
      </w:r>
    </w:p>
    <w:p w:rsidR="003840E1" w:rsidRDefault="003840E1">
      <w:pPr>
        <w:tabs>
          <w:tab w:val="center" w:pos="6979"/>
        </w:tabs>
        <w:spacing w:beforeLines="50" w:before="156" w:afterLines="50" w:after="156"/>
        <w:jc w:val="center"/>
        <w:rPr>
          <w:rFonts w:ascii="宋体" w:hAnsi="宋体" w:cs="宋体"/>
          <w:b/>
          <w:bCs/>
          <w:spacing w:val="40"/>
          <w:kern w:val="0"/>
          <w:sz w:val="32"/>
          <w:szCs w:val="32"/>
        </w:rPr>
      </w:pPr>
    </w:p>
    <w:p w:rsidR="003840E1" w:rsidRDefault="003840E1">
      <w:pPr>
        <w:tabs>
          <w:tab w:val="center" w:pos="6979"/>
        </w:tabs>
        <w:spacing w:beforeLines="50" w:before="156" w:afterLines="50" w:after="156"/>
        <w:jc w:val="center"/>
        <w:rPr>
          <w:rFonts w:ascii="宋体" w:hAnsi="宋体" w:cs="宋体"/>
          <w:b/>
          <w:bCs/>
          <w:spacing w:val="40"/>
          <w:kern w:val="0"/>
          <w:sz w:val="32"/>
          <w:szCs w:val="32"/>
        </w:rPr>
      </w:pPr>
    </w:p>
    <w:p w:rsidR="003840E1" w:rsidRDefault="003840E1">
      <w:pPr>
        <w:tabs>
          <w:tab w:val="center" w:pos="6979"/>
        </w:tabs>
        <w:spacing w:beforeLines="50" w:before="156" w:afterLines="50" w:after="156"/>
        <w:jc w:val="center"/>
        <w:rPr>
          <w:rFonts w:ascii="宋体" w:hAnsi="宋体" w:cs="宋体"/>
          <w:b/>
          <w:bCs/>
          <w:spacing w:val="40"/>
          <w:kern w:val="0"/>
          <w:sz w:val="32"/>
          <w:szCs w:val="32"/>
        </w:rPr>
      </w:pPr>
    </w:p>
    <w:p w:rsidR="003840E1" w:rsidRDefault="003840E1">
      <w:pPr>
        <w:tabs>
          <w:tab w:val="center" w:pos="6979"/>
        </w:tabs>
        <w:spacing w:beforeLines="50" w:before="156" w:afterLines="50" w:after="156"/>
        <w:jc w:val="center"/>
        <w:rPr>
          <w:rFonts w:ascii="宋体" w:hAnsi="宋体" w:cs="宋体"/>
          <w:b/>
          <w:bCs/>
          <w:spacing w:val="40"/>
          <w:kern w:val="0"/>
          <w:sz w:val="32"/>
          <w:szCs w:val="32"/>
        </w:rPr>
      </w:pPr>
    </w:p>
    <w:p w:rsidR="003840E1" w:rsidRDefault="003840E1">
      <w:pPr>
        <w:tabs>
          <w:tab w:val="center" w:pos="6979"/>
        </w:tabs>
        <w:spacing w:beforeLines="50" w:before="156" w:afterLines="50" w:after="156"/>
        <w:jc w:val="center"/>
        <w:rPr>
          <w:rFonts w:ascii="宋体" w:hAnsi="宋体" w:cs="宋体"/>
          <w:b/>
          <w:bCs/>
          <w:spacing w:val="40"/>
          <w:kern w:val="0"/>
          <w:sz w:val="32"/>
          <w:szCs w:val="32"/>
        </w:rPr>
      </w:pPr>
    </w:p>
    <w:p w:rsidR="003840E1" w:rsidRDefault="001740B7">
      <w:pPr>
        <w:tabs>
          <w:tab w:val="center" w:pos="6979"/>
        </w:tabs>
        <w:spacing w:beforeLines="50" w:before="156" w:afterLines="50" w:after="156"/>
        <w:jc w:val="center"/>
        <w:rPr>
          <w:rFonts w:ascii="宋体" w:hAnsi="宋体" w:cs="宋体"/>
          <w:b/>
          <w:bCs/>
          <w:spacing w:val="40"/>
          <w:kern w:val="0"/>
          <w:sz w:val="32"/>
          <w:szCs w:val="32"/>
        </w:rPr>
      </w:pPr>
      <w:r>
        <w:rPr>
          <w:rFonts w:ascii="宋体" w:hAnsi="宋体" w:cs="宋体" w:hint="eastAsia"/>
          <w:b/>
          <w:bCs/>
          <w:spacing w:val="40"/>
          <w:kern w:val="0"/>
          <w:sz w:val="44"/>
          <w:szCs w:val="44"/>
        </w:rPr>
        <w:t>第一部分 2023年度部门决算报表</w:t>
      </w:r>
    </w:p>
    <w:p w:rsidR="003840E1" w:rsidRDefault="001740B7">
      <w:pPr>
        <w:pStyle w:val="2"/>
        <w:rPr>
          <w:b w:val="0"/>
          <w:bCs w:val="0"/>
        </w:rPr>
        <w:sectPr w:rsidR="003840E1">
          <w:footerReference w:type="default" r:id="rId8"/>
          <w:pgSz w:w="16838" w:h="11906" w:orient="landscape"/>
          <w:pgMar w:top="1134" w:right="1134" w:bottom="1134" w:left="1134" w:header="851" w:footer="992" w:gutter="0"/>
          <w:cols w:space="720"/>
          <w:docGrid w:type="linesAndChars" w:linePitch="312"/>
        </w:sectPr>
      </w:pPr>
      <w:r>
        <w:rPr>
          <w:rFonts w:ascii="仿宋_GB2312" w:eastAsia="仿宋_GB2312" w:hint="eastAsia"/>
          <w:sz w:val="28"/>
          <w:szCs w:val="28"/>
        </w:rPr>
        <w:t xml:space="preserve">   </w:t>
      </w:r>
      <w:r>
        <w:rPr>
          <w:rFonts w:ascii="仿宋_GB2312" w:eastAsia="仿宋_GB2312" w:hint="eastAsia"/>
          <w:b w:val="0"/>
          <w:bCs w:val="0"/>
          <w:sz w:val="28"/>
          <w:szCs w:val="28"/>
        </w:rPr>
        <w:t>报表详见附件。</w:t>
      </w:r>
    </w:p>
    <w:p w:rsidR="003840E1" w:rsidRDefault="001740B7">
      <w:pPr>
        <w:tabs>
          <w:tab w:val="center" w:pos="6979"/>
        </w:tabs>
        <w:spacing w:beforeLines="50" w:before="156" w:afterLines="50" w:after="156"/>
        <w:jc w:val="center"/>
        <w:rPr>
          <w:rFonts w:ascii="宋体" w:hAnsi="宋体"/>
          <w:b/>
          <w:sz w:val="32"/>
          <w:szCs w:val="32"/>
        </w:rPr>
      </w:pPr>
      <w:r>
        <w:rPr>
          <w:rFonts w:ascii="宋体" w:hAnsi="宋体" w:cs="宋体" w:hint="eastAsia"/>
          <w:b/>
          <w:bCs/>
          <w:spacing w:val="40"/>
          <w:kern w:val="0"/>
          <w:sz w:val="32"/>
          <w:szCs w:val="32"/>
        </w:rPr>
        <w:lastRenderedPageBreak/>
        <w:t xml:space="preserve">第二部分 </w:t>
      </w:r>
      <w:r>
        <w:rPr>
          <w:rFonts w:ascii="宋体" w:hAnsi="宋体" w:hint="eastAsia"/>
          <w:b/>
          <w:spacing w:val="40"/>
          <w:sz w:val="32"/>
          <w:szCs w:val="32"/>
        </w:rPr>
        <w:t>2023年度部门决算说明</w:t>
      </w:r>
    </w:p>
    <w:p w:rsidR="003840E1" w:rsidRDefault="001740B7" w:rsidP="00E83AFB">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一、单位基本情况</w:t>
      </w:r>
    </w:p>
    <w:p w:rsidR="003840E1" w:rsidRDefault="001740B7">
      <w:pPr>
        <w:tabs>
          <w:tab w:val="center" w:pos="6979"/>
        </w:tabs>
        <w:spacing w:line="580" w:lineRule="exact"/>
        <w:ind w:firstLineChars="150" w:firstLine="420"/>
        <w:rPr>
          <w:rFonts w:ascii="仿宋_GB2312" w:eastAsia="仿宋_GB2312"/>
          <w:sz w:val="28"/>
          <w:szCs w:val="28"/>
        </w:rPr>
      </w:pPr>
      <w:r>
        <w:rPr>
          <w:rFonts w:ascii="仿宋_GB2312" w:eastAsia="仿宋_GB2312" w:hint="eastAsia"/>
          <w:sz w:val="28"/>
          <w:szCs w:val="28"/>
        </w:rPr>
        <w:t>（一）机构</w:t>
      </w:r>
      <w:r>
        <w:rPr>
          <w:rFonts w:ascii="仿宋_GB2312" w:eastAsia="仿宋_GB2312"/>
          <w:sz w:val="28"/>
          <w:szCs w:val="28"/>
        </w:rPr>
        <w:t>设置、</w:t>
      </w:r>
      <w:r>
        <w:rPr>
          <w:rFonts w:ascii="仿宋_GB2312" w:eastAsia="仿宋_GB2312" w:hint="eastAsia"/>
          <w:sz w:val="28"/>
          <w:szCs w:val="28"/>
        </w:rPr>
        <w:t>职责</w:t>
      </w:r>
    </w:p>
    <w:p w:rsidR="003840E1" w:rsidRDefault="001740B7">
      <w:pPr>
        <w:ind w:firstLineChars="200" w:firstLine="560"/>
        <w:rPr>
          <w:rFonts w:ascii="仿宋_GB2312" w:eastAsia="仿宋_GB2312"/>
          <w:sz w:val="28"/>
          <w:szCs w:val="28"/>
        </w:rPr>
      </w:pPr>
      <w:r>
        <w:rPr>
          <w:rFonts w:ascii="仿宋_GB2312" w:eastAsia="仿宋_GB2312" w:hint="eastAsia"/>
          <w:sz w:val="28"/>
          <w:szCs w:val="28"/>
        </w:rPr>
        <w:t>北京印刷学院为公益二类事业单位。北京印刷学院以“传承弘扬印刷文明，创新发展出版文化”为办学使命，开启中国出版印刷高等教育的先河。学校现已成为在印刷与包装、出版与传播、设计与艺术三个领域具有明显优势和特色，工、文、艺、管协调发展的全日制高水平特色型高等院校。</w:t>
      </w:r>
    </w:p>
    <w:p w:rsidR="003840E1" w:rsidRDefault="001740B7">
      <w:pPr>
        <w:ind w:firstLineChars="200" w:firstLine="560"/>
        <w:rPr>
          <w:rFonts w:ascii="仿宋_GB2312" w:eastAsia="仿宋_GB2312"/>
          <w:sz w:val="28"/>
          <w:szCs w:val="28"/>
        </w:rPr>
      </w:pPr>
      <w:r>
        <w:rPr>
          <w:rFonts w:ascii="仿宋_GB2312" w:eastAsia="仿宋_GB2312" w:hint="eastAsia"/>
          <w:sz w:val="28"/>
          <w:szCs w:val="28"/>
        </w:rPr>
        <w:t>学校坚持扎根行业，全力打造出版印刷领域教育、研究重要平台。学校坚持首善意识，致力服务行业和北京发展。学校始终牢记办学之初被赋予的国家使命与行业责任，把 “坚持立德树人， 提高人才培养质量和高素质人才培养能力”这个根本，坚持面向首都发展、面向出版传媒行业，彰显服务出版传媒全产业链为主线的学科特色，工科与文科结合、艺术与科技结合、理论与实践结合的复合应用型人才培养特色和传承弘扬中华印刷文明、创新发展红色出版文化的文化特色，深化“特色发展、开放办学、协同创新和绿色发展”四大战略，实施“教育创新、人才强校、科技创新能力提升、文化传承创新和党建强基固本”五项工程。</w:t>
      </w:r>
    </w:p>
    <w:p w:rsidR="003840E1" w:rsidRDefault="001740B7">
      <w:pPr>
        <w:widowControl/>
        <w:shd w:val="clear" w:color="auto" w:fill="FFFFFF"/>
        <w:spacing w:line="351" w:lineRule="atLeast"/>
        <w:ind w:firstLine="480"/>
        <w:jc w:val="left"/>
        <w:rPr>
          <w:rFonts w:ascii="仿宋_GB2312" w:eastAsia="仿宋_GB2312"/>
          <w:sz w:val="28"/>
          <w:szCs w:val="28"/>
        </w:rPr>
      </w:pPr>
      <w:r>
        <w:rPr>
          <w:rFonts w:ascii="仿宋_GB2312" w:eastAsia="仿宋_GB2312"/>
          <w:sz w:val="28"/>
          <w:szCs w:val="28"/>
        </w:rPr>
        <w:t>学校现设有37个内设机构，包括：印刷与包装工程学院、机电工程学院、信息工程学院、</w:t>
      </w:r>
      <w:r>
        <w:rPr>
          <w:rFonts w:ascii="仿宋_GB2312" w:eastAsia="仿宋_GB2312" w:hint="eastAsia"/>
          <w:sz w:val="28"/>
          <w:szCs w:val="28"/>
        </w:rPr>
        <w:t>出版学院、</w:t>
      </w:r>
      <w:r>
        <w:rPr>
          <w:rFonts w:ascii="仿宋_GB2312" w:eastAsia="仿宋_GB2312"/>
          <w:sz w:val="28"/>
          <w:szCs w:val="28"/>
        </w:rPr>
        <w:t>新闻传</w:t>
      </w:r>
      <w:r>
        <w:rPr>
          <w:rFonts w:ascii="仿宋_GB2312" w:eastAsia="仿宋_GB2312" w:hint="eastAsia"/>
          <w:sz w:val="28"/>
          <w:szCs w:val="28"/>
        </w:rPr>
        <w:t>播</w:t>
      </w:r>
      <w:r>
        <w:rPr>
          <w:rFonts w:ascii="仿宋_GB2312" w:eastAsia="仿宋_GB2312"/>
          <w:sz w:val="28"/>
          <w:szCs w:val="28"/>
        </w:rPr>
        <w:t>学院、经济管理学院、设计艺术学院、新媒体学院、马克思主义学院、基础教育学院、职业继续教育学院和国际教育学院、学校党政办公室、组织部（党校）、宣传部、统战部、学生处、安全稳定处、纪委、党建工作处（巡察办）、审计处、教务</w:t>
      </w:r>
      <w:r>
        <w:rPr>
          <w:rFonts w:ascii="仿宋_GB2312" w:eastAsia="仿宋_GB2312"/>
          <w:sz w:val="28"/>
          <w:szCs w:val="28"/>
        </w:rPr>
        <w:lastRenderedPageBreak/>
        <w:t>处、人事处、计财处、科研处、研究生院、国有资产管理处、后勤处、基建处、离退休工作处、外事处（港澳台办）、工会、团委、对</w:t>
      </w:r>
      <w:r>
        <w:rPr>
          <w:rFonts w:ascii="仿宋_GB2312" w:eastAsia="仿宋_GB2312" w:hint="eastAsia"/>
          <w:sz w:val="28"/>
          <w:szCs w:val="28"/>
        </w:rPr>
        <w:t>外</w:t>
      </w:r>
      <w:r>
        <w:rPr>
          <w:rFonts w:ascii="仿宋_GB2312" w:eastAsia="仿宋_GB2312"/>
          <w:sz w:val="28"/>
          <w:szCs w:val="28"/>
        </w:rPr>
        <w:t>合作与交流处、图书馆、网络安全与信息中心、校产办。</w:t>
      </w:r>
    </w:p>
    <w:p w:rsidR="003840E1" w:rsidRDefault="001740B7">
      <w:pPr>
        <w:tabs>
          <w:tab w:val="center" w:pos="6979"/>
        </w:tabs>
        <w:spacing w:line="580" w:lineRule="exact"/>
        <w:ind w:firstLineChars="150" w:firstLine="420"/>
        <w:rPr>
          <w:rFonts w:ascii="仿宋_GB2312" w:eastAsia="仿宋_GB2312"/>
          <w:sz w:val="28"/>
          <w:szCs w:val="28"/>
        </w:rPr>
      </w:pPr>
      <w:r>
        <w:rPr>
          <w:rFonts w:ascii="仿宋_GB2312" w:eastAsia="仿宋_GB2312" w:hint="eastAsia"/>
          <w:sz w:val="28"/>
          <w:szCs w:val="28"/>
        </w:rPr>
        <w:t>（二）人员构成情况</w:t>
      </w:r>
    </w:p>
    <w:p w:rsidR="003840E1" w:rsidRDefault="001740B7">
      <w:pPr>
        <w:tabs>
          <w:tab w:val="center" w:pos="6979"/>
        </w:tabs>
        <w:spacing w:line="580" w:lineRule="exact"/>
        <w:ind w:firstLineChars="200" w:firstLine="560"/>
        <w:rPr>
          <w:rFonts w:ascii="仿宋_GB2312" w:eastAsia="仿宋_GB2312"/>
          <w:kern w:val="0"/>
          <w:sz w:val="28"/>
          <w:szCs w:val="28"/>
        </w:rPr>
      </w:pPr>
      <w:r>
        <w:rPr>
          <w:rFonts w:ascii="仿宋_GB2312" w:eastAsia="仿宋_GB2312" w:hint="eastAsia"/>
          <w:kern w:val="0"/>
          <w:sz w:val="28"/>
          <w:szCs w:val="28"/>
        </w:rPr>
        <w:t>行政编制0人，实有人数0人；事业编制866人，实有人数805人；学生人数10700人。</w:t>
      </w:r>
    </w:p>
    <w:p w:rsidR="003840E1" w:rsidRDefault="001740B7">
      <w:pPr>
        <w:tabs>
          <w:tab w:val="center" w:pos="6979"/>
        </w:tabs>
        <w:spacing w:line="580" w:lineRule="exact"/>
        <w:rPr>
          <w:rFonts w:ascii="黑体" w:eastAsia="黑体"/>
          <w:b/>
          <w:sz w:val="28"/>
          <w:szCs w:val="28"/>
        </w:rPr>
      </w:pPr>
      <w:r>
        <w:rPr>
          <w:rFonts w:ascii="仿宋_GB2312" w:eastAsia="仿宋_GB2312" w:hint="eastAsia"/>
          <w:b/>
          <w:sz w:val="32"/>
          <w:szCs w:val="32"/>
        </w:rPr>
        <w:t xml:space="preserve">   </w:t>
      </w:r>
      <w:r>
        <w:rPr>
          <w:rFonts w:ascii="黑体" w:eastAsia="黑体" w:hint="eastAsia"/>
          <w:b/>
          <w:sz w:val="28"/>
          <w:szCs w:val="28"/>
        </w:rPr>
        <w:t>二、收入支出决算总体情况说明</w:t>
      </w:r>
    </w:p>
    <w:p w:rsidR="003840E1" w:rsidRDefault="001740B7">
      <w:pPr>
        <w:ind w:firstLineChars="300" w:firstLine="840"/>
        <w:rPr>
          <w:rFonts w:ascii="仿宋_GB2312" w:eastAsia="仿宋_GB2312"/>
          <w:sz w:val="28"/>
          <w:szCs w:val="28"/>
        </w:rPr>
      </w:pPr>
      <w:r>
        <w:rPr>
          <w:rFonts w:ascii="仿宋_GB2312" w:eastAsia="仿宋_GB2312" w:hint="eastAsia"/>
          <w:sz w:val="28"/>
          <w:szCs w:val="28"/>
        </w:rPr>
        <w:t>2023年度收、</w:t>
      </w:r>
      <w:r>
        <w:rPr>
          <w:rFonts w:ascii="仿宋_GB2312" w:eastAsia="仿宋_GB2312"/>
          <w:sz w:val="28"/>
          <w:szCs w:val="28"/>
        </w:rPr>
        <w:t>支</w:t>
      </w:r>
      <w:r>
        <w:rPr>
          <w:rFonts w:ascii="仿宋_GB2312" w:eastAsia="仿宋_GB2312" w:hint="eastAsia"/>
          <w:sz w:val="28"/>
          <w:szCs w:val="28"/>
        </w:rPr>
        <w:t>总计</w:t>
      </w:r>
      <w:r>
        <w:rPr>
          <w:rFonts w:ascii="仿宋_GB2312" w:eastAsia="仿宋_GB2312"/>
          <w:sz w:val="28"/>
          <w:szCs w:val="28"/>
        </w:rPr>
        <w:t>81343.29</w:t>
      </w:r>
      <w:r>
        <w:rPr>
          <w:rFonts w:ascii="仿宋_GB2312" w:eastAsia="仿宋_GB2312" w:hint="eastAsia"/>
          <w:sz w:val="28"/>
          <w:szCs w:val="28"/>
        </w:rPr>
        <w:t>万元，</w:t>
      </w:r>
      <w:r>
        <w:rPr>
          <w:rFonts w:ascii="仿宋_GB2312" w:eastAsia="仿宋_GB2312"/>
          <w:sz w:val="28"/>
          <w:szCs w:val="28"/>
        </w:rPr>
        <w:t>比上年增加</w:t>
      </w:r>
      <w:r>
        <w:rPr>
          <w:rFonts w:ascii="仿宋_GB2312" w:eastAsia="仿宋_GB2312" w:hint="eastAsia"/>
          <w:sz w:val="28"/>
          <w:szCs w:val="28"/>
        </w:rPr>
        <w:t>7291.36万元，增长9.85%。</w:t>
      </w:r>
    </w:p>
    <w:p w:rsidR="003840E1" w:rsidRDefault="001740B7">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（一</w:t>
      </w:r>
      <w:r>
        <w:rPr>
          <w:rFonts w:ascii="仿宋_GB2312" w:eastAsia="仿宋_GB2312"/>
          <w:sz w:val="28"/>
          <w:szCs w:val="28"/>
        </w:rPr>
        <w:t>）</w:t>
      </w:r>
      <w:r>
        <w:rPr>
          <w:rFonts w:ascii="仿宋_GB2312" w:eastAsia="仿宋_GB2312" w:hint="eastAsia"/>
          <w:sz w:val="28"/>
          <w:szCs w:val="28"/>
        </w:rPr>
        <w:t>收入决算</w:t>
      </w:r>
      <w:r>
        <w:rPr>
          <w:rFonts w:ascii="仿宋_GB2312" w:eastAsia="仿宋_GB2312"/>
          <w:sz w:val="28"/>
          <w:szCs w:val="28"/>
        </w:rPr>
        <w:t>说明</w:t>
      </w:r>
    </w:p>
    <w:p w:rsidR="003840E1" w:rsidRDefault="001740B7">
      <w:pPr>
        <w:ind w:firstLineChars="200" w:firstLine="560"/>
        <w:rPr>
          <w:rFonts w:ascii="仿宋_GB2312" w:eastAsia="仿宋_GB2312"/>
          <w:sz w:val="28"/>
          <w:szCs w:val="28"/>
        </w:rPr>
      </w:pPr>
      <w:r>
        <w:rPr>
          <w:rFonts w:ascii="仿宋_GB2312" w:eastAsia="仿宋_GB2312" w:hint="eastAsia"/>
          <w:sz w:val="28"/>
          <w:szCs w:val="28"/>
        </w:rPr>
        <w:t>2023年度本年收入合计</w:t>
      </w:r>
      <w:r>
        <w:rPr>
          <w:rFonts w:ascii="仿宋_GB2312" w:eastAsia="仿宋_GB2312"/>
          <w:sz w:val="28"/>
          <w:szCs w:val="28"/>
        </w:rPr>
        <w:t>62882.44</w:t>
      </w:r>
      <w:r>
        <w:rPr>
          <w:rFonts w:ascii="仿宋_GB2312" w:eastAsia="仿宋_GB2312" w:hint="eastAsia"/>
          <w:sz w:val="28"/>
          <w:szCs w:val="28"/>
        </w:rPr>
        <w:t>万元，</w:t>
      </w:r>
      <w:r>
        <w:rPr>
          <w:rFonts w:ascii="仿宋_GB2312" w:eastAsia="仿宋_GB2312"/>
          <w:sz w:val="28"/>
          <w:szCs w:val="28"/>
        </w:rPr>
        <w:t>比上年增加</w:t>
      </w:r>
      <w:r>
        <w:rPr>
          <w:rFonts w:ascii="仿宋_GB2312" w:eastAsia="仿宋_GB2312" w:hint="eastAsia"/>
          <w:sz w:val="28"/>
          <w:szCs w:val="28"/>
        </w:rPr>
        <w:t>3266.22万元，增长5.48%。</w:t>
      </w:r>
    </w:p>
    <w:p w:rsidR="003840E1" w:rsidRDefault="001740B7">
      <w:pPr>
        <w:tabs>
          <w:tab w:val="center" w:pos="6979"/>
        </w:tabs>
        <w:spacing w:line="580" w:lineRule="exact"/>
        <w:ind w:firstLineChars="200" w:firstLine="560"/>
      </w:pPr>
      <w:r>
        <w:rPr>
          <w:rFonts w:ascii="仿宋_GB2312" w:eastAsia="仿宋_GB2312" w:hint="eastAsia"/>
          <w:sz w:val="28"/>
          <w:szCs w:val="28"/>
        </w:rPr>
        <w:t>1.财政拨款收入</w:t>
      </w:r>
      <w:r>
        <w:rPr>
          <w:rFonts w:ascii="仿宋_GB2312" w:eastAsia="仿宋_GB2312"/>
          <w:sz w:val="28"/>
          <w:szCs w:val="28"/>
        </w:rPr>
        <w:t>48653.24</w:t>
      </w:r>
      <w:r>
        <w:rPr>
          <w:rFonts w:ascii="仿宋_GB2312" w:eastAsia="仿宋_GB2312" w:hint="eastAsia"/>
          <w:sz w:val="28"/>
          <w:szCs w:val="28"/>
        </w:rPr>
        <w:t>万元，占收入合计的</w:t>
      </w:r>
      <w:r>
        <w:rPr>
          <w:rFonts w:ascii="仿宋_GB2312" w:eastAsia="仿宋_GB2312"/>
          <w:sz w:val="28"/>
          <w:szCs w:val="28"/>
        </w:rPr>
        <w:t>77.37</w:t>
      </w:r>
      <w:r>
        <w:rPr>
          <w:rFonts w:ascii="仿宋_GB2312" w:eastAsia="仿宋_GB2312" w:hint="eastAsia"/>
          <w:sz w:val="28"/>
          <w:szCs w:val="28"/>
        </w:rPr>
        <w:t>%。其中：一般公共预算财政拨款收入</w:t>
      </w:r>
      <w:r>
        <w:rPr>
          <w:rFonts w:ascii="仿宋_GB2312" w:eastAsia="仿宋_GB2312"/>
          <w:sz w:val="28"/>
          <w:szCs w:val="28"/>
        </w:rPr>
        <w:t>48653.24</w:t>
      </w:r>
      <w:r>
        <w:rPr>
          <w:rFonts w:ascii="仿宋_GB2312" w:eastAsia="仿宋_GB2312" w:hint="eastAsia"/>
          <w:sz w:val="28"/>
          <w:szCs w:val="28"/>
        </w:rPr>
        <w:t>万元，占收入合计的</w:t>
      </w:r>
      <w:r>
        <w:rPr>
          <w:rFonts w:ascii="仿宋_GB2312" w:eastAsia="仿宋_GB2312"/>
          <w:sz w:val="28"/>
          <w:szCs w:val="28"/>
        </w:rPr>
        <w:t>77.37</w:t>
      </w:r>
      <w:r>
        <w:rPr>
          <w:rFonts w:ascii="仿宋_GB2312" w:eastAsia="仿宋_GB2312" w:hint="eastAsia"/>
          <w:sz w:val="28"/>
          <w:szCs w:val="28"/>
        </w:rPr>
        <w:t>%；政府性基金预算财政拨款收入</w:t>
      </w:r>
      <w:r>
        <w:rPr>
          <w:rFonts w:ascii="仿宋_GB2312" w:eastAsia="仿宋_GB2312"/>
          <w:sz w:val="28"/>
          <w:szCs w:val="28"/>
        </w:rPr>
        <w:t>0</w:t>
      </w:r>
      <w:r>
        <w:rPr>
          <w:rFonts w:ascii="仿宋_GB2312" w:eastAsia="仿宋_GB2312" w:hint="eastAsia"/>
          <w:sz w:val="28"/>
          <w:szCs w:val="28"/>
        </w:rPr>
        <w:t>.00万元，占收入合计的</w:t>
      </w:r>
      <w:r>
        <w:rPr>
          <w:rFonts w:ascii="仿宋_GB2312" w:eastAsia="仿宋_GB2312"/>
          <w:sz w:val="28"/>
          <w:szCs w:val="28"/>
        </w:rPr>
        <w:t>0</w:t>
      </w:r>
      <w:r>
        <w:rPr>
          <w:rFonts w:ascii="仿宋_GB2312" w:eastAsia="仿宋_GB2312" w:hint="eastAsia"/>
          <w:sz w:val="28"/>
          <w:szCs w:val="28"/>
        </w:rPr>
        <w:t>.00%；国有资本经营预算财政拨款收入</w:t>
      </w:r>
      <w:r>
        <w:rPr>
          <w:rFonts w:ascii="仿宋_GB2312" w:eastAsia="仿宋_GB2312"/>
          <w:sz w:val="28"/>
          <w:szCs w:val="28"/>
        </w:rPr>
        <w:t>0</w:t>
      </w:r>
      <w:r>
        <w:rPr>
          <w:rFonts w:ascii="仿宋_GB2312" w:eastAsia="仿宋_GB2312" w:hint="eastAsia"/>
          <w:sz w:val="28"/>
          <w:szCs w:val="28"/>
        </w:rPr>
        <w:t>.00万元，占收入合计的</w:t>
      </w:r>
      <w:r>
        <w:rPr>
          <w:rFonts w:ascii="仿宋_GB2312" w:eastAsia="仿宋_GB2312"/>
          <w:sz w:val="28"/>
          <w:szCs w:val="28"/>
        </w:rPr>
        <w:t>0</w:t>
      </w:r>
      <w:r>
        <w:rPr>
          <w:rFonts w:ascii="仿宋_GB2312" w:eastAsia="仿宋_GB2312" w:hint="eastAsia"/>
          <w:sz w:val="28"/>
          <w:szCs w:val="28"/>
        </w:rPr>
        <w:t>.00%；</w:t>
      </w:r>
    </w:p>
    <w:p w:rsidR="003840E1" w:rsidRDefault="001740B7">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2.上级补助收入</w:t>
      </w:r>
      <w:r>
        <w:rPr>
          <w:rFonts w:ascii="仿宋_GB2312" w:eastAsia="仿宋_GB2312"/>
          <w:sz w:val="28"/>
          <w:szCs w:val="28"/>
        </w:rPr>
        <w:t>0</w:t>
      </w:r>
      <w:r>
        <w:rPr>
          <w:rFonts w:ascii="仿宋_GB2312" w:eastAsia="仿宋_GB2312" w:hint="eastAsia"/>
          <w:sz w:val="28"/>
          <w:szCs w:val="28"/>
        </w:rPr>
        <w:t>.00万元，占收入合计的</w:t>
      </w:r>
      <w:r>
        <w:rPr>
          <w:rFonts w:ascii="仿宋_GB2312" w:eastAsia="仿宋_GB2312"/>
          <w:sz w:val="28"/>
          <w:szCs w:val="28"/>
        </w:rPr>
        <w:t>0</w:t>
      </w:r>
      <w:r>
        <w:rPr>
          <w:rFonts w:ascii="仿宋_GB2312" w:eastAsia="仿宋_GB2312" w:hint="eastAsia"/>
          <w:sz w:val="28"/>
          <w:szCs w:val="28"/>
        </w:rPr>
        <w:t>.00%；</w:t>
      </w:r>
    </w:p>
    <w:p w:rsidR="003840E1" w:rsidRDefault="001740B7">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3.事业收入</w:t>
      </w:r>
      <w:r>
        <w:rPr>
          <w:rFonts w:ascii="仿宋_GB2312" w:eastAsia="仿宋_GB2312"/>
          <w:sz w:val="28"/>
          <w:szCs w:val="28"/>
        </w:rPr>
        <w:t>12960.33</w:t>
      </w:r>
      <w:r>
        <w:rPr>
          <w:rFonts w:ascii="仿宋_GB2312" w:eastAsia="仿宋_GB2312" w:hint="eastAsia"/>
          <w:sz w:val="28"/>
          <w:szCs w:val="28"/>
        </w:rPr>
        <w:t>万元，占收入合计的</w:t>
      </w:r>
      <w:r>
        <w:rPr>
          <w:rFonts w:ascii="仿宋_GB2312" w:eastAsia="仿宋_GB2312"/>
          <w:sz w:val="28"/>
          <w:szCs w:val="28"/>
        </w:rPr>
        <w:t>20.61</w:t>
      </w:r>
      <w:r>
        <w:rPr>
          <w:rFonts w:ascii="仿宋_GB2312" w:eastAsia="仿宋_GB2312" w:hint="eastAsia"/>
          <w:sz w:val="28"/>
          <w:szCs w:val="28"/>
        </w:rPr>
        <w:t>%；</w:t>
      </w:r>
    </w:p>
    <w:p w:rsidR="003840E1" w:rsidRDefault="001740B7">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4.经营收入</w:t>
      </w:r>
      <w:r>
        <w:rPr>
          <w:rFonts w:ascii="仿宋_GB2312" w:eastAsia="仿宋_GB2312"/>
          <w:sz w:val="28"/>
          <w:szCs w:val="28"/>
        </w:rPr>
        <w:t>134.04</w:t>
      </w:r>
      <w:r>
        <w:rPr>
          <w:rFonts w:ascii="仿宋_GB2312" w:eastAsia="仿宋_GB2312" w:hint="eastAsia"/>
          <w:sz w:val="28"/>
          <w:szCs w:val="28"/>
        </w:rPr>
        <w:t>万元，占收入合计的</w:t>
      </w:r>
      <w:r>
        <w:rPr>
          <w:rFonts w:ascii="仿宋_GB2312" w:eastAsia="仿宋_GB2312"/>
          <w:sz w:val="28"/>
          <w:szCs w:val="28"/>
        </w:rPr>
        <w:t>0.21</w:t>
      </w:r>
      <w:r>
        <w:rPr>
          <w:rFonts w:ascii="仿宋_GB2312" w:eastAsia="仿宋_GB2312" w:hint="eastAsia"/>
          <w:sz w:val="28"/>
          <w:szCs w:val="28"/>
        </w:rPr>
        <w:t>%；</w:t>
      </w:r>
    </w:p>
    <w:p w:rsidR="003840E1" w:rsidRDefault="001740B7">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5.附属单位上缴收入</w:t>
      </w:r>
      <w:r>
        <w:rPr>
          <w:rFonts w:ascii="仿宋_GB2312" w:eastAsia="仿宋_GB2312"/>
          <w:sz w:val="28"/>
          <w:szCs w:val="28"/>
        </w:rPr>
        <w:t>0</w:t>
      </w:r>
      <w:r>
        <w:rPr>
          <w:rFonts w:ascii="仿宋_GB2312" w:eastAsia="仿宋_GB2312" w:hint="eastAsia"/>
          <w:sz w:val="28"/>
          <w:szCs w:val="28"/>
        </w:rPr>
        <w:t>.00万元，占收入合计的</w:t>
      </w:r>
      <w:r>
        <w:rPr>
          <w:rFonts w:ascii="仿宋_GB2312" w:eastAsia="仿宋_GB2312"/>
          <w:sz w:val="28"/>
          <w:szCs w:val="28"/>
        </w:rPr>
        <w:t>0</w:t>
      </w:r>
      <w:r>
        <w:rPr>
          <w:rFonts w:ascii="仿宋_GB2312" w:eastAsia="仿宋_GB2312" w:hint="eastAsia"/>
          <w:sz w:val="28"/>
          <w:szCs w:val="28"/>
        </w:rPr>
        <w:t>.00%；</w:t>
      </w:r>
    </w:p>
    <w:p w:rsidR="003840E1" w:rsidRDefault="001740B7">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6.其他收入</w:t>
      </w:r>
      <w:r>
        <w:rPr>
          <w:rFonts w:ascii="仿宋_GB2312" w:eastAsia="仿宋_GB2312"/>
          <w:sz w:val="28"/>
          <w:szCs w:val="28"/>
        </w:rPr>
        <w:t>1134.8</w:t>
      </w:r>
      <w:r>
        <w:rPr>
          <w:rFonts w:ascii="仿宋_GB2312" w:eastAsia="仿宋_GB2312" w:hint="eastAsia"/>
          <w:sz w:val="28"/>
          <w:szCs w:val="28"/>
        </w:rPr>
        <w:t>3万元，占收入合计的</w:t>
      </w:r>
      <w:r>
        <w:rPr>
          <w:rFonts w:ascii="仿宋_GB2312" w:eastAsia="仿宋_GB2312"/>
          <w:sz w:val="28"/>
          <w:szCs w:val="28"/>
        </w:rPr>
        <w:t>1.8</w:t>
      </w:r>
      <w:r>
        <w:rPr>
          <w:rFonts w:ascii="仿宋_GB2312" w:eastAsia="仿宋_GB2312" w:hint="eastAsia"/>
          <w:sz w:val="28"/>
          <w:szCs w:val="28"/>
        </w:rPr>
        <w:t>1%。</w:t>
      </w:r>
    </w:p>
    <w:p w:rsidR="003840E1" w:rsidRDefault="001740B7">
      <w:pPr>
        <w:pStyle w:val="2"/>
        <w:jc w:val="center"/>
      </w:pPr>
      <w:r>
        <w:rPr>
          <w:rFonts w:ascii="仿宋_GB2312" w:eastAsia="仿宋_GB2312" w:hint="eastAsia"/>
          <w:color w:val="000000"/>
          <w:sz w:val="32"/>
        </w:rPr>
        <w:lastRenderedPageBreak/>
        <w:t>图1：收入决算</w:t>
      </w:r>
    </w:p>
    <w:p w:rsidR="003840E1" w:rsidRDefault="001740B7">
      <w:pPr>
        <w:jc w:val="center"/>
      </w:pPr>
      <w:r>
        <w:rPr>
          <w:rFonts w:hint="eastAsia"/>
          <w:noProof/>
        </w:rPr>
        <w:drawing>
          <wp:inline distT="0" distB="0" distL="114300" distR="114300">
            <wp:extent cx="4408805" cy="2477770"/>
            <wp:effectExtent l="0" t="0" r="10795" b="17780"/>
            <wp:docPr id="2" name="图表 2"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840E1" w:rsidRDefault="001740B7">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（二</w:t>
      </w:r>
      <w:r>
        <w:rPr>
          <w:rFonts w:ascii="仿宋_GB2312" w:eastAsia="仿宋_GB2312"/>
          <w:sz w:val="28"/>
          <w:szCs w:val="28"/>
        </w:rPr>
        <w:t>）</w:t>
      </w:r>
      <w:r>
        <w:rPr>
          <w:rFonts w:ascii="仿宋_GB2312" w:eastAsia="仿宋_GB2312" w:hint="eastAsia"/>
          <w:sz w:val="28"/>
          <w:szCs w:val="28"/>
        </w:rPr>
        <w:t>支出决算</w:t>
      </w:r>
      <w:r>
        <w:rPr>
          <w:rFonts w:ascii="仿宋_GB2312" w:eastAsia="仿宋_GB2312"/>
          <w:sz w:val="28"/>
          <w:szCs w:val="28"/>
        </w:rPr>
        <w:t>说明</w:t>
      </w:r>
    </w:p>
    <w:p w:rsidR="003840E1" w:rsidRDefault="001740B7">
      <w:pPr>
        <w:ind w:firstLineChars="200" w:firstLine="560"/>
        <w:rPr>
          <w:rFonts w:ascii="仿宋_GB2312" w:eastAsia="仿宋_GB2312"/>
          <w:sz w:val="28"/>
          <w:szCs w:val="28"/>
        </w:rPr>
      </w:pPr>
      <w:r>
        <w:rPr>
          <w:rFonts w:ascii="仿宋_GB2312" w:eastAsia="仿宋_GB2312" w:hint="eastAsia"/>
          <w:sz w:val="28"/>
          <w:szCs w:val="28"/>
        </w:rPr>
        <w:t>2023年度本年支出合计</w:t>
      </w:r>
      <w:r>
        <w:rPr>
          <w:rFonts w:ascii="仿宋_GB2312" w:eastAsia="仿宋_GB2312"/>
          <w:sz w:val="28"/>
          <w:szCs w:val="28"/>
        </w:rPr>
        <w:t>64144.2</w:t>
      </w:r>
      <w:r>
        <w:rPr>
          <w:rFonts w:ascii="仿宋_GB2312" w:eastAsia="仿宋_GB2312" w:hint="eastAsia"/>
          <w:sz w:val="28"/>
          <w:szCs w:val="28"/>
        </w:rPr>
        <w:t>0万元，</w:t>
      </w:r>
      <w:r>
        <w:rPr>
          <w:rFonts w:ascii="仿宋_GB2312" w:eastAsia="仿宋_GB2312"/>
          <w:sz w:val="28"/>
          <w:szCs w:val="28"/>
        </w:rPr>
        <w:t>比上年增加</w:t>
      </w:r>
      <w:r>
        <w:rPr>
          <w:rFonts w:ascii="仿宋_GB2312" w:eastAsia="仿宋_GB2312" w:hint="eastAsia"/>
          <w:sz w:val="28"/>
          <w:szCs w:val="28"/>
        </w:rPr>
        <w:t>8677.00万元，增长15.64%，其中：基本支出</w:t>
      </w:r>
      <w:r>
        <w:rPr>
          <w:rFonts w:ascii="仿宋_GB2312" w:eastAsia="仿宋_GB2312"/>
          <w:sz w:val="28"/>
          <w:szCs w:val="28"/>
        </w:rPr>
        <w:t>55053.62</w:t>
      </w:r>
      <w:r>
        <w:rPr>
          <w:rFonts w:ascii="仿宋_GB2312" w:eastAsia="仿宋_GB2312" w:hint="eastAsia"/>
          <w:sz w:val="28"/>
          <w:szCs w:val="28"/>
        </w:rPr>
        <w:t>万元，占支出合计的</w:t>
      </w:r>
      <w:r>
        <w:rPr>
          <w:rFonts w:ascii="仿宋_GB2312" w:eastAsia="仿宋_GB2312"/>
          <w:sz w:val="28"/>
          <w:szCs w:val="28"/>
        </w:rPr>
        <w:t>85.8</w:t>
      </w:r>
      <w:r>
        <w:rPr>
          <w:rFonts w:ascii="仿宋_GB2312" w:eastAsia="仿宋_GB2312" w:hint="eastAsia"/>
          <w:sz w:val="28"/>
          <w:szCs w:val="28"/>
        </w:rPr>
        <w:t>3%；项目支出</w:t>
      </w:r>
      <w:r>
        <w:rPr>
          <w:rFonts w:ascii="仿宋_GB2312" w:eastAsia="仿宋_GB2312"/>
          <w:sz w:val="28"/>
          <w:szCs w:val="28"/>
        </w:rPr>
        <w:t>8956.54</w:t>
      </w:r>
      <w:r>
        <w:rPr>
          <w:rFonts w:ascii="仿宋_GB2312" w:eastAsia="仿宋_GB2312" w:hint="eastAsia"/>
          <w:sz w:val="28"/>
          <w:szCs w:val="28"/>
        </w:rPr>
        <w:t>万元，占支出合计的</w:t>
      </w:r>
      <w:r>
        <w:rPr>
          <w:rFonts w:ascii="仿宋_GB2312" w:eastAsia="仿宋_GB2312"/>
          <w:sz w:val="28"/>
          <w:szCs w:val="28"/>
        </w:rPr>
        <w:t>13.96</w:t>
      </w:r>
      <w:r>
        <w:rPr>
          <w:rFonts w:ascii="仿宋_GB2312" w:eastAsia="仿宋_GB2312" w:hint="eastAsia"/>
          <w:sz w:val="28"/>
          <w:szCs w:val="28"/>
        </w:rPr>
        <w:t>%;上缴上级支出</w:t>
      </w:r>
      <w:r>
        <w:rPr>
          <w:rFonts w:ascii="仿宋_GB2312" w:eastAsia="仿宋_GB2312"/>
          <w:sz w:val="28"/>
          <w:szCs w:val="28"/>
        </w:rPr>
        <w:t>0</w:t>
      </w:r>
      <w:r>
        <w:rPr>
          <w:rFonts w:ascii="仿宋_GB2312" w:eastAsia="仿宋_GB2312" w:hint="eastAsia"/>
          <w:sz w:val="28"/>
          <w:szCs w:val="28"/>
        </w:rPr>
        <w:t>.00万元，占支出合计的</w:t>
      </w:r>
      <w:r>
        <w:rPr>
          <w:rFonts w:ascii="仿宋_GB2312" w:eastAsia="仿宋_GB2312"/>
          <w:sz w:val="28"/>
          <w:szCs w:val="28"/>
        </w:rPr>
        <w:t>0</w:t>
      </w:r>
      <w:r>
        <w:rPr>
          <w:rFonts w:ascii="仿宋_GB2312" w:eastAsia="仿宋_GB2312" w:hint="eastAsia"/>
          <w:sz w:val="28"/>
          <w:szCs w:val="28"/>
        </w:rPr>
        <w:t>.00%；经营支出</w:t>
      </w:r>
      <w:r>
        <w:rPr>
          <w:rFonts w:ascii="仿宋_GB2312" w:eastAsia="仿宋_GB2312"/>
          <w:sz w:val="28"/>
          <w:szCs w:val="28"/>
        </w:rPr>
        <w:t>134.04</w:t>
      </w:r>
      <w:r>
        <w:rPr>
          <w:rFonts w:ascii="仿宋_GB2312" w:eastAsia="仿宋_GB2312" w:hint="eastAsia"/>
          <w:sz w:val="28"/>
          <w:szCs w:val="28"/>
        </w:rPr>
        <w:t>万元，占支出合计的</w:t>
      </w:r>
      <w:r>
        <w:rPr>
          <w:rFonts w:ascii="仿宋_GB2312" w:eastAsia="仿宋_GB2312"/>
          <w:sz w:val="28"/>
          <w:szCs w:val="28"/>
        </w:rPr>
        <w:t>0.2</w:t>
      </w:r>
      <w:r>
        <w:rPr>
          <w:rFonts w:ascii="仿宋_GB2312" w:eastAsia="仿宋_GB2312" w:hint="eastAsia"/>
          <w:sz w:val="28"/>
          <w:szCs w:val="28"/>
        </w:rPr>
        <w:t>1%；对附属单位补助支出</w:t>
      </w:r>
      <w:r>
        <w:rPr>
          <w:rFonts w:ascii="仿宋_GB2312" w:eastAsia="仿宋_GB2312"/>
          <w:sz w:val="28"/>
          <w:szCs w:val="28"/>
        </w:rPr>
        <w:t>0</w:t>
      </w:r>
      <w:r>
        <w:rPr>
          <w:rFonts w:ascii="仿宋_GB2312" w:eastAsia="仿宋_GB2312" w:hint="eastAsia"/>
          <w:sz w:val="28"/>
          <w:szCs w:val="28"/>
        </w:rPr>
        <w:t>.00万元，占支出合计的</w:t>
      </w:r>
      <w:r>
        <w:rPr>
          <w:rFonts w:ascii="仿宋_GB2312" w:eastAsia="仿宋_GB2312"/>
          <w:sz w:val="28"/>
          <w:szCs w:val="28"/>
        </w:rPr>
        <w:t>0</w:t>
      </w:r>
      <w:r>
        <w:rPr>
          <w:rFonts w:ascii="仿宋_GB2312" w:eastAsia="仿宋_GB2312" w:hint="eastAsia"/>
          <w:sz w:val="28"/>
          <w:szCs w:val="28"/>
        </w:rPr>
        <w:t>.00%。</w:t>
      </w:r>
    </w:p>
    <w:p w:rsidR="003840E1" w:rsidRDefault="001740B7">
      <w:pPr>
        <w:pStyle w:val="2"/>
        <w:ind w:firstLine="642"/>
        <w:jc w:val="center"/>
        <w:rPr>
          <w:rFonts w:ascii="仿宋_GB2312" w:eastAsia="仿宋_GB2312"/>
          <w:color w:val="000000"/>
          <w:sz w:val="32"/>
        </w:rPr>
      </w:pPr>
      <w:r>
        <w:rPr>
          <w:rFonts w:ascii="仿宋_GB2312" w:eastAsia="仿宋_GB2312" w:hint="eastAsia"/>
          <w:color w:val="000000"/>
          <w:sz w:val="32"/>
        </w:rPr>
        <w:lastRenderedPageBreak/>
        <w:t>图2：基本支出和项目支出情况</w:t>
      </w:r>
    </w:p>
    <w:p w:rsidR="003840E1" w:rsidRDefault="001740B7">
      <w:pPr>
        <w:jc w:val="center"/>
        <w:rPr>
          <w:rFonts w:ascii="黑体" w:eastAsia="黑体"/>
          <w:b/>
          <w:sz w:val="28"/>
          <w:szCs w:val="28"/>
        </w:rPr>
      </w:pPr>
      <w:r>
        <w:rPr>
          <w:noProof/>
        </w:rPr>
        <w:drawing>
          <wp:inline distT="0" distB="0" distL="114300" distR="114300">
            <wp:extent cx="4572000" cy="2743200"/>
            <wp:effectExtent l="0" t="0" r="19050" b="19050"/>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840E1" w:rsidRDefault="001740B7" w:rsidP="00E83AFB">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三</w:t>
      </w:r>
      <w:r>
        <w:rPr>
          <w:rFonts w:ascii="黑体" w:eastAsia="黑体"/>
          <w:b/>
          <w:sz w:val="28"/>
          <w:szCs w:val="28"/>
        </w:rPr>
        <w:t>、财政拨款</w:t>
      </w:r>
      <w:r>
        <w:rPr>
          <w:rFonts w:ascii="黑体" w:eastAsia="黑体" w:hint="eastAsia"/>
          <w:b/>
          <w:sz w:val="28"/>
          <w:szCs w:val="28"/>
        </w:rPr>
        <w:t>收入支出决算</w:t>
      </w:r>
      <w:r>
        <w:rPr>
          <w:rFonts w:ascii="黑体" w:eastAsia="黑体"/>
          <w:b/>
          <w:sz w:val="28"/>
          <w:szCs w:val="28"/>
        </w:rPr>
        <w:t>总体情况说明</w:t>
      </w:r>
    </w:p>
    <w:p w:rsidR="003840E1" w:rsidRDefault="001740B7">
      <w:pPr>
        <w:ind w:firstLineChars="200" w:firstLine="560"/>
        <w:rPr>
          <w:rFonts w:ascii="仿宋_GB2312" w:eastAsia="仿宋_GB2312"/>
          <w:sz w:val="28"/>
          <w:szCs w:val="28"/>
        </w:rPr>
      </w:pPr>
      <w:r>
        <w:rPr>
          <w:rFonts w:ascii="仿宋_GB2312" w:eastAsia="仿宋_GB2312" w:hint="eastAsia"/>
          <w:sz w:val="28"/>
          <w:szCs w:val="28"/>
        </w:rPr>
        <w:t>2023年度财政拨款收、</w:t>
      </w:r>
      <w:r>
        <w:rPr>
          <w:rFonts w:ascii="仿宋_GB2312" w:eastAsia="仿宋_GB2312"/>
          <w:sz w:val="28"/>
          <w:szCs w:val="28"/>
        </w:rPr>
        <w:t>支</w:t>
      </w:r>
      <w:r>
        <w:rPr>
          <w:rFonts w:ascii="仿宋_GB2312" w:eastAsia="仿宋_GB2312" w:hint="eastAsia"/>
          <w:sz w:val="28"/>
          <w:szCs w:val="28"/>
        </w:rPr>
        <w:t>总计</w:t>
      </w:r>
      <w:r>
        <w:rPr>
          <w:rFonts w:ascii="仿宋_GB2312" w:eastAsia="仿宋_GB2312"/>
          <w:sz w:val="28"/>
          <w:szCs w:val="28"/>
        </w:rPr>
        <w:t>49608.4</w:t>
      </w:r>
      <w:r>
        <w:rPr>
          <w:rFonts w:ascii="仿宋_GB2312" w:eastAsia="仿宋_GB2312" w:hint="eastAsia"/>
          <w:sz w:val="28"/>
          <w:szCs w:val="28"/>
        </w:rPr>
        <w:t>0万元，比上年</w:t>
      </w:r>
      <w:r>
        <w:rPr>
          <w:rFonts w:ascii="仿宋_GB2312" w:eastAsia="仿宋_GB2312"/>
          <w:sz w:val="28"/>
          <w:szCs w:val="28"/>
        </w:rPr>
        <w:t>增加</w:t>
      </w:r>
      <w:r>
        <w:rPr>
          <w:rFonts w:ascii="仿宋_GB2312" w:eastAsia="仿宋_GB2312" w:hint="eastAsia"/>
          <w:sz w:val="28"/>
          <w:szCs w:val="28"/>
        </w:rPr>
        <w:t>2165.18万元，增长4.56%。主要原因：根据事业发展规划增加项目安排。</w:t>
      </w:r>
    </w:p>
    <w:p w:rsidR="003840E1" w:rsidRDefault="001740B7" w:rsidP="00E83AFB">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四、一般公共预算财政拨款支出决算情况说明</w:t>
      </w:r>
    </w:p>
    <w:p w:rsidR="003840E1" w:rsidRDefault="001740B7">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（一）一般公共预算财政拨款支出决算总体情况</w:t>
      </w:r>
    </w:p>
    <w:p w:rsidR="003840E1" w:rsidRDefault="001740B7">
      <w:pPr>
        <w:ind w:firstLineChars="200" w:firstLine="560"/>
        <w:rPr>
          <w:rFonts w:ascii="仿宋_GB2312" w:eastAsia="仿宋_GB2312"/>
          <w:sz w:val="28"/>
          <w:szCs w:val="28"/>
        </w:rPr>
      </w:pPr>
      <w:r>
        <w:rPr>
          <w:rFonts w:ascii="仿宋_GB2312" w:eastAsia="仿宋_GB2312" w:hint="eastAsia"/>
          <w:sz w:val="28"/>
          <w:szCs w:val="28"/>
        </w:rPr>
        <w:t>2023年度一般公共预算财政拨款支出</w:t>
      </w:r>
      <w:r>
        <w:rPr>
          <w:rFonts w:ascii="仿宋_GB2312" w:eastAsia="仿宋_GB2312"/>
          <w:sz w:val="28"/>
          <w:szCs w:val="28"/>
        </w:rPr>
        <w:t>47746.38</w:t>
      </w:r>
      <w:r>
        <w:rPr>
          <w:rFonts w:ascii="仿宋_GB2312" w:eastAsia="仿宋_GB2312" w:hint="eastAsia"/>
          <w:sz w:val="28"/>
          <w:szCs w:val="28"/>
        </w:rPr>
        <w:t>万元，主要用于以下方面（按大类）：教育支出47746.38万元，占本年财政拨款支出100.00%。</w:t>
      </w:r>
    </w:p>
    <w:p w:rsidR="003840E1" w:rsidRDefault="001740B7">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lastRenderedPageBreak/>
        <w:t>（二）一般公共预算财政拨款支出决算具体情况</w:t>
      </w:r>
    </w:p>
    <w:p w:rsidR="003840E1" w:rsidRDefault="001740B7">
      <w:pPr>
        <w:widowControl/>
        <w:shd w:val="clear" w:color="auto" w:fill="FFFFFF"/>
        <w:spacing w:line="351" w:lineRule="atLeast"/>
        <w:ind w:firstLineChars="300" w:firstLine="840"/>
        <w:jc w:val="left"/>
        <w:rPr>
          <w:rFonts w:ascii="仿宋_GB2312" w:eastAsia="仿宋_GB2312"/>
          <w:sz w:val="28"/>
          <w:szCs w:val="28"/>
        </w:rPr>
      </w:pPr>
      <w:r>
        <w:rPr>
          <w:rFonts w:ascii="仿宋_GB2312" w:eastAsia="仿宋_GB2312"/>
          <w:sz w:val="28"/>
          <w:szCs w:val="28"/>
        </w:rPr>
        <w:t>“</w:t>
      </w:r>
      <w:r>
        <w:rPr>
          <w:rFonts w:ascii="仿宋_GB2312" w:eastAsia="仿宋_GB2312"/>
          <w:sz w:val="28"/>
          <w:szCs w:val="28"/>
        </w:rPr>
        <w:t>教育支出</w:t>
      </w:r>
      <w:r>
        <w:rPr>
          <w:rFonts w:ascii="仿宋_GB2312" w:eastAsia="仿宋_GB2312"/>
          <w:sz w:val="28"/>
          <w:szCs w:val="28"/>
        </w:rPr>
        <w:t>”</w:t>
      </w:r>
      <w:r>
        <w:rPr>
          <w:rFonts w:ascii="仿宋_GB2312" w:eastAsia="仿宋_GB2312"/>
          <w:sz w:val="28"/>
          <w:szCs w:val="28"/>
        </w:rPr>
        <w:t>（类）202</w:t>
      </w:r>
      <w:r>
        <w:rPr>
          <w:rFonts w:ascii="仿宋_GB2312" w:eastAsia="仿宋_GB2312" w:hint="eastAsia"/>
          <w:sz w:val="28"/>
          <w:szCs w:val="28"/>
        </w:rPr>
        <w:t>3</w:t>
      </w:r>
      <w:r>
        <w:rPr>
          <w:rFonts w:ascii="仿宋_GB2312" w:eastAsia="仿宋_GB2312"/>
          <w:sz w:val="28"/>
          <w:szCs w:val="28"/>
        </w:rPr>
        <w:t>年度决算4</w:t>
      </w:r>
      <w:r>
        <w:rPr>
          <w:rFonts w:ascii="仿宋_GB2312" w:eastAsia="仿宋_GB2312" w:hint="eastAsia"/>
          <w:sz w:val="28"/>
          <w:szCs w:val="28"/>
        </w:rPr>
        <w:t>7746.38</w:t>
      </w:r>
      <w:r>
        <w:rPr>
          <w:rFonts w:ascii="仿宋_GB2312" w:eastAsia="仿宋_GB2312"/>
          <w:sz w:val="28"/>
          <w:szCs w:val="28"/>
        </w:rPr>
        <w:t>万元，比202</w:t>
      </w:r>
      <w:r>
        <w:rPr>
          <w:rFonts w:ascii="仿宋_GB2312" w:eastAsia="仿宋_GB2312" w:hint="eastAsia"/>
          <w:sz w:val="28"/>
          <w:szCs w:val="28"/>
        </w:rPr>
        <w:t>3</w:t>
      </w:r>
      <w:r>
        <w:rPr>
          <w:rFonts w:ascii="仿宋_GB2312" w:eastAsia="仿宋_GB2312"/>
          <w:sz w:val="28"/>
          <w:szCs w:val="28"/>
        </w:rPr>
        <w:t>年度年初预算增加</w:t>
      </w:r>
      <w:r>
        <w:rPr>
          <w:rFonts w:ascii="仿宋_GB2312" w:eastAsia="仿宋_GB2312" w:hint="eastAsia"/>
          <w:sz w:val="28"/>
          <w:szCs w:val="28"/>
        </w:rPr>
        <w:t>166.82</w:t>
      </w:r>
      <w:r>
        <w:rPr>
          <w:rFonts w:ascii="仿宋_GB2312" w:eastAsia="仿宋_GB2312"/>
          <w:sz w:val="28"/>
          <w:szCs w:val="28"/>
        </w:rPr>
        <w:t>万元，增长</w:t>
      </w:r>
      <w:r>
        <w:rPr>
          <w:rFonts w:ascii="仿宋_GB2312" w:eastAsia="仿宋_GB2312" w:hint="eastAsia"/>
          <w:sz w:val="28"/>
          <w:szCs w:val="28"/>
        </w:rPr>
        <w:t>0.35</w:t>
      </w:r>
      <w:r>
        <w:rPr>
          <w:rFonts w:ascii="仿宋_GB2312" w:eastAsia="仿宋_GB2312"/>
          <w:sz w:val="28"/>
          <w:szCs w:val="28"/>
        </w:rPr>
        <w:t>%。其中：</w:t>
      </w:r>
    </w:p>
    <w:p w:rsidR="003840E1" w:rsidRDefault="001740B7">
      <w:pPr>
        <w:widowControl/>
        <w:shd w:val="clear" w:color="auto" w:fill="FFFFFF"/>
        <w:spacing w:line="351" w:lineRule="atLeast"/>
        <w:ind w:firstLineChars="300" w:firstLine="840"/>
        <w:jc w:val="left"/>
        <w:rPr>
          <w:rFonts w:ascii="仿宋_GB2312" w:eastAsia="仿宋_GB2312"/>
          <w:sz w:val="28"/>
          <w:szCs w:val="28"/>
        </w:rPr>
      </w:pPr>
      <w:r>
        <w:rPr>
          <w:rFonts w:ascii="仿宋_GB2312" w:eastAsia="仿宋_GB2312"/>
          <w:sz w:val="28"/>
          <w:szCs w:val="28"/>
        </w:rPr>
        <w:t>“</w:t>
      </w:r>
      <w:r>
        <w:rPr>
          <w:rFonts w:ascii="仿宋_GB2312" w:eastAsia="仿宋_GB2312"/>
          <w:sz w:val="28"/>
          <w:szCs w:val="28"/>
        </w:rPr>
        <w:t>普通教育</w:t>
      </w:r>
      <w:r>
        <w:rPr>
          <w:rFonts w:ascii="仿宋_GB2312" w:eastAsia="仿宋_GB2312"/>
          <w:sz w:val="28"/>
          <w:szCs w:val="28"/>
        </w:rPr>
        <w:t>”</w:t>
      </w:r>
      <w:r>
        <w:rPr>
          <w:rFonts w:ascii="仿宋_GB2312" w:eastAsia="仿宋_GB2312"/>
          <w:sz w:val="28"/>
          <w:szCs w:val="28"/>
        </w:rPr>
        <w:t>（款）202</w:t>
      </w:r>
      <w:r>
        <w:rPr>
          <w:rFonts w:ascii="仿宋_GB2312" w:eastAsia="仿宋_GB2312" w:hint="eastAsia"/>
          <w:sz w:val="28"/>
          <w:szCs w:val="28"/>
        </w:rPr>
        <w:t>3</w:t>
      </w:r>
      <w:r>
        <w:rPr>
          <w:rFonts w:ascii="仿宋_GB2312" w:eastAsia="仿宋_GB2312"/>
          <w:sz w:val="28"/>
          <w:szCs w:val="28"/>
        </w:rPr>
        <w:t>年度决算4</w:t>
      </w:r>
      <w:r>
        <w:rPr>
          <w:rFonts w:ascii="仿宋_GB2312" w:eastAsia="仿宋_GB2312" w:hint="eastAsia"/>
          <w:sz w:val="28"/>
          <w:szCs w:val="28"/>
        </w:rPr>
        <w:t>7746.38</w:t>
      </w:r>
      <w:r>
        <w:rPr>
          <w:rFonts w:ascii="仿宋_GB2312" w:eastAsia="仿宋_GB2312"/>
          <w:sz w:val="28"/>
          <w:szCs w:val="28"/>
        </w:rPr>
        <w:t>万元，比202</w:t>
      </w:r>
      <w:r>
        <w:rPr>
          <w:rFonts w:ascii="仿宋_GB2312" w:eastAsia="仿宋_GB2312" w:hint="eastAsia"/>
          <w:sz w:val="28"/>
          <w:szCs w:val="28"/>
        </w:rPr>
        <w:t>3</w:t>
      </w:r>
      <w:r>
        <w:rPr>
          <w:rFonts w:ascii="仿宋_GB2312" w:eastAsia="仿宋_GB2312"/>
          <w:sz w:val="28"/>
          <w:szCs w:val="28"/>
        </w:rPr>
        <w:t>年度年初预算增加</w:t>
      </w:r>
      <w:r>
        <w:rPr>
          <w:rFonts w:ascii="仿宋_GB2312" w:eastAsia="仿宋_GB2312" w:hint="eastAsia"/>
          <w:sz w:val="28"/>
          <w:szCs w:val="28"/>
        </w:rPr>
        <w:t>166.82</w:t>
      </w:r>
      <w:r>
        <w:rPr>
          <w:rFonts w:ascii="仿宋_GB2312" w:eastAsia="仿宋_GB2312"/>
          <w:sz w:val="28"/>
          <w:szCs w:val="28"/>
        </w:rPr>
        <w:t>万元，增长</w:t>
      </w:r>
      <w:r>
        <w:rPr>
          <w:rFonts w:ascii="仿宋_GB2312" w:eastAsia="仿宋_GB2312" w:hint="eastAsia"/>
          <w:sz w:val="28"/>
          <w:szCs w:val="28"/>
        </w:rPr>
        <w:t>0.35</w:t>
      </w:r>
      <w:r>
        <w:rPr>
          <w:rFonts w:ascii="仿宋_GB2312" w:eastAsia="仿宋_GB2312"/>
          <w:sz w:val="28"/>
          <w:szCs w:val="28"/>
        </w:rPr>
        <w:t>%。主要原因：</w:t>
      </w:r>
      <w:r>
        <w:rPr>
          <w:rFonts w:ascii="仿宋_GB2312" w:eastAsia="仿宋_GB2312" w:hint="eastAsia"/>
          <w:sz w:val="28"/>
          <w:szCs w:val="28"/>
        </w:rPr>
        <w:t>增加基本</w:t>
      </w:r>
      <w:r>
        <w:rPr>
          <w:rFonts w:ascii="仿宋_GB2312" w:eastAsia="仿宋_GB2312"/>
          <w:sz w:val="28"/>
          <w:szCs w:val="28"/>
        </w:rPr>
        <w:t>经费。</w:t>
      </w:r>
    </w:p>
    <w:p w:rsidR="003840E1" w:rsidRDefault="001740B7" w:rsidP="00E83AFB">
      <w:pPr>
        <w:spacing w:line="580" w:lineRule="exact"/>
        <w:ind w:firstLineChars="200" w:firstLine="562"/>
        <w:rPr>
          <w:rFonts w:ascii="仿宋_GB2312" w:eastAsia="仿宋_GB2312"/>
          <w:sz w:val="28"/>
          <w:szCs w:val="28"/>
        </w:rPr>
      </w:pPr>
      <w:r>
        <w:rPr>
          <w:rFonts w:ascii="黑体" w:eastAsia="黑体" w:hint="eastAsia"/>
          <w:b/>
          <w:sz w:val="28"/>
          <w:szCs w:val="28"/>
        </w:rPr>
        <w:t>五、政府性基金预算财政拨款支出决算情况说明</w:t>
      </w:r>
    </w:p>
    <w:p w:rsidR="003840E1" w:rsidRDefault="001740B7">
      <w:pPr>
        <w:widowControl/>
        <w:shd w:val="clear" w:color="auto" w:fill="FFFFFF"/>
        <w:spacing w:line="351" w:lineRule="atLeast"/>
        <w:ind w:firstLineChars="200" w:firstLine="560"/>
        <w:jc w:val="left"/>
        <w:rPr>
          <w:rFonts w:ascii="仿宋_GB2312" w:eastAsia="仿宋_GB2312"/>
          <w:sz w:val="28"/>
          <w:szCs w:val="28"/>
        </w:rPr>
      </w:pPr>
      <w:r>
        <w:rPr>
          <w:rFonts w:ascii="仿宋_GB2312" w:eastAsia="仿宋_GB2312"/>
          <w:sz w:val="28"/>
          <w:szCs w:val="28"/>
        </w:rPr>
        <w:t>本年度无此项支出。</w:t>
      </w:r>
    </w:p>
    <w:p w:rsidR="003840E1" w:rsidRDefault="001740B7" w:rsidP="00E83AFB">
      <w:pPr>
        <w:spacing w:line="580" w:lineRule="exact"/>
        <w:ind w:firstLineChars="200" w:firstLine="562"/>
        <w:rPr>
          <w:rFonts w:ascii="黑体" w:eastAsia="黑体"/>
          <w:b/>
          <w:sz w:val="28"/>
          <w:szCs w:val="28"/>
        </w:rPr>
      </w:pPr>
      <w:r>
        <w:rPr>
          <w:rFonts w:ascii="黑体" w:eastAsia="黑体" w:hint="eastAsia"/>
          <w:b/>
          <w:sz w:val="28"/>
          <w:szCs w:val="28"/>
        </w:rPr>
        <w:t>六、国有资本经营预算财</w:t>
      </w:r>
      <w:r>
        <w:rPr>
          <w:rFonts w:ascii="黑体" w:eastAsia="黑体"/>
          <w:b/>
          <w:sz w:val="28"/>
          <w:szCs w:val="28"/>
        </w:rPr>
        <w:t>政拨款</w:t>
      </w:r>
      <w:r>
        <w:rPr>
          <w:rFonts w:ascii="黑体" w:eastAsia="黑体" w:hint="eastAsia"/>
          <w:b/>
          <w:sz w:val="28"/>
          <w:szCs w:val="28"/>
        </w:rPr>
        <w:t>收支情况</w:t>
      </w:r>
    </w:p>
    <w:p w:rsidR="003840E1" w:rsidRDefault="001740B7" w:rsidP="00E83AFB">
      <w:pPr>
        <w:ind w:firstLineChars="192" w:firstLine="538"/>
        <w:rPr>
          <w:rFonts w:ascii="仿宋_GB2312" w:eastAsia="仿宋_GB2312"/>
          <w:sz w:val="28"/>
          <w:szCs w:val="28"/>
        </w:rPr>
      </w:pPr>
      <w:r>
        <w:rPr>
          <w:rFonts w:ascii="仿宋_GB2312" w:eastAsia="仿宋_GB2312" w:hint="eastAsia"/>
          <w:sz w:val="28"/>
          <w:szCs w:val="28"/>
        </w:rPr>
        <w:t>本年度无此项经费。</w:t>
      </w:r>
    </w:p>
    <w:p w:rsidR="003840E1" w:rsidRDefault="001740B7" w:rsidP="00E83AFB">
      <w:pPr>
        <w:spacing w:line="580" w:lineRule="exact"/>
        <w:ind w:firstLineChars="196" w:firstLine="551"/>
        <w:rPr>
          <w:rFonts w:ascii="黑体" w:eastAsia="黑体"/>
          <w:sz w:val="28"/>
          <w:szCs w:val="28"/>
        </w:rPr>
      </w:pPr>
      <w:r>
        <w:rPr>
          <w:rFonts w:ascii="黑体" w:eastAsia="黑体" w:hint="eastAsia"/>
          <w:b/>
          <w:sz w:val="28"/>
          <w:szCs w:val="28"/>
        </w:rPr>
        <w:t>七、财政拨款基本支出决算情况说明</w:t>
      </w:r>
    </w:p>
    <w:p w:rsidR="003840E1" w:rsidRDefault="001740B7" w:rsidP="00E83AFB">
      <w:pPr>
        <w:tabs>
          <w:tab w:val="center" w:pos="6979"/>
        </w:tabs>
        <w:spacing w:line="580" w:lineRule="exact"/>
        <w:ind w:firstLineChars="196" w:firstLine="549"/>
        <w:rPr>
          <w:rFonts w:ascii="黑体" w:eastAsia="黑体"/>
          <w:b/>
          <w:sz w:val="28"/>
          <w:szCs w:val="28"/>
        </w:rPr>
      </w:pPr>
      <w:r>
        <w:rPr>
          <w:rFonts w:ascii="仿宋_GB2312" w:eastAsia="仿宋_GB2312" w:hint="eastAsia"/>
          <w:sz w:val="28"/>
          <w:szCs w:val="28"/>
        </w:rPr>
        <w:t>2023年度使用一般公共预算财政拨款安排基本支出</w:t>
      </w:r>
      <w:r>
        <w:rPr>
          <w:rFonts w:ascii="仿宋_GB2312" w:eastAsia="仿宋_GB2312"/>
          <w:sz w:val="28"/>
          <w:szCs w:val="28"/>
        </w:rPr>
        <w:t>43258.64</w:t>
      </w:r>
      <w:r>
        <w:rPr>
          <w:rFonts w:ascii="仿宋_GB2312" w:eastAsia="仿宋_GB2312" w:hint="eastAsia"/>
          <w:sz w:val="28"/>
          <w:szCs w:val="28"/>
        </w:rPr>
        <w:t>万元，使用政府性基金财政拨款安排基本支出</w:t>
      </w:r>
      <w:r>
        <w:rPr>
          <w:rFonts w:ascii="仿宋_GB2312" w:eastAsia="仿宋_GB2312"/>
          <w:sz w:val="28"/>
          <w:szCs w:val="28"/>
        </w:rPr>
        <w:t>0</w:t>
      </w:r>
      <w:r>
        <w:rPr>
          <w:rFonts w:ascii="仿宋_GB2312" w:eastAsia="仿宋_GB2312" w:hint="eastAsia"/>
          <w:sz w:val="28"/>
          <w:szCs w:val="28"/>
        </w:rPr>
        <w:t>.00万元，其中：（1）工资福利支出包括基本工资</w:t>
      </w:r>
      <w:r>
        <w:rPr>
          <w:rFonts w:ascii="仿宋_GB2312" w:eastAsia="仿宋_GB2312"/>
          <w:sz w:val="28"/>
          <w:szCs w:val="28"/>
        </w:rPr>
        <w:t>、津贴补贴、奖金、伙食补助费、绩效工资、</w:t>
      </w:r>
      <w:r>
        <w:rPr>
          <w:rFonts w:ascii="仿宋_GB2312" w:eastAsia="仿宋_GB2312" w:hint="eastAsia"/>
          <w:sz w:val="28"/>
          <w:szCs w:val="28"/>
        </w:rPr>
        <w:t>其他</w:t>
      </w:r>
      <w:r>
        <w:rPr>
          <w:rFonts w:ascii="仿宋_GB2312" w:eastAsia="仿宋_GB2312"/>
          <w:sz w:val="28"/>
          <w:szCs w:val="28"/>
        </w:rPr>
        <w:t>社会保障缴费、其他工资福利</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；（3）对个人和家庭补助支出包括</w:t>
      </w:r>
      <w:r>
        <w:rPr>
          <w:rFonts w:ascii="仿宋_GB2312" w:eastAsia="仿宋_GB2312"/>
          <w:sz w:val="28"/>
          <w:szCs w:val="28"/>
        </w:rPr>
        <w:t>离休费、退休费、抚恤金、生活补助、</w:t>
      </w:r>
      <w:r>
        <w:rPr>
          <w:rFonts w:ascii="仿宋_GB2312" w:eastAsia="仿宋_GB2312" w:hint="eastAsia"/>
          <w:sz w:val="28"/>
          <w:szCs w:val="28"/>
        </w:rPr>
        <w:t>救济费</w:t>
      </w:r>
      <w:r>
        <w:rPr>
          <w:rFonts w:ascii="仿宋_GB2312" w:eastAsia="仿宋_GB2312"/>
          <w:sz w:val="28"/>
          <w:szCs w:val="28"/>
        </w:rPr>
        <w:t>、医疗费</w:t>
      </w:r>
      <w:r>
        <w:rPr>
          <w:rFonts w:ascii="仿宋_GB2312" w:eastAsia="仿宋_GB2312" w:hint="eastAsia"/>
          <w:sz w:val="28"/>
          <w:szCs w:val="28"/>
        </w:rPr>
        <w:t>补助</w:t>
      </w:r>
      <w:r>
        <w:rPr>
          <w:rFonts w:ascii="仿宋_GB2312" w:eastAsia="仿宋_GB2312"/>
          <w:sz w:val="28"/>
          <w:szCs w:val="28"/>
        </w:rPr>
        <w:t>、助学金、奖励金</w:t>
      </w:r>
      <w:r>
        <w:rPr>
          <w:rFonts w:ascii="仿宋_GB2312" w:eastAsia="仿宋_GB2312" w:hint="eastAsia"/>
          <w:sz w:val="28"/>
          <w:szCs w:val="28"/>
        </w:rPr>
        <w:t>、</w:t>
      </w:r>
      <w:r>
        <w:rPr>
          <w:rFonts w:ascii="仿宋_GB2312" w:eastAsia="仿宋_GB2312"/>
          <w:sz w:val="28"/>
          <w:szCs w:val="28"/>
        </w:rPr>
        <w:t>其他对个人和家庭的补助</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。（4）其他资本性支出包括</w:t>
      </w:r>
      <w:r>
        <w:rPr>
          <w:rFonts w:ascii="仿宋_GB2312" w:eastAsia="仿宋_GB2312"/>
          <w:sz w:val="28"/>
          <w:szCs w:val="28"/>
        </w:rPr>
        <w:t>办公设备购置、专用设备购置</w:t>
      </w:r>
      <w:r>
        <w:rPr>
          <w:rFonts w:ascii="仿宋_GB2312" w:eastAsia="仿宋_GB2312" w:hint="eastAsia"/>
          <w:sz w:val="28"/>
          <w:szCs w:val="28"/>
        </w:rPr>
        <w:t>等</w:t>
      </w:r>
      <w:r>
        <w:rPr>
          <w:rFonts w:ascii="仿宋_GB2312" w:eastAsia="仿宋_GB2312"/>
          <w:sz w:val="28"/>
          <w:szCs w:val="28"/>
        </w:rPr>
        <w:t>。</w:t>
      </w:r>
    </w:p>
    <w:p w:rsidR="003840E1" w:rsidRDefault="001740B7">
      <w:pPr>
        <w:autoSpaceDE w:val="0"/>
        <w:autoSpaceDN w:val="0"/>
        <w:adjustRightInd w:val="0"/>
        <w:spacing w:line="580" w:lineRule="exact"/>
        <w:jc w:val="center"/>
        <w:rPr>
          <w:rFonts w:ascii="宋体" w:hAnsi="宋体" w:cs="宋体"/>
          <w:b/>
          <w:spacing w:val="40"/>
          <w:kern w:val="0"/>
          <w:sz w:val="32"/>
          <w:szCs w:val="32"/>
        </w:rPr>
      </w:pPr>
      <w:r>
        <w:rPr>
          <w:rFonts w:ascii="仿宋_GB2312" w:eastAsia="仿宋_GB2312"/>
          <w:sz w:val="28"/>
          <w:szCs w:val="28"/>
        </w:rPr>
        <w:br w:type="page"/>
      </w:r>
      <w:r>
        <w:rPr>
          <w:rFonts w:ascii="宋体" w:hAnsi="宋体" w:cs="宋体" w:hint="eastAsia"/>
          <w:b/>
          <w:bCs/>
          <w:spacing w:val="40"/>
          <w:kern w:val="0"/>
          <w:sz w:val="32"/>
          <w:szCs w:val="32"/>
        </w:rPr>
        <w:lastRenderedPageBreak/>
        <w:t>第三部分</w:t>
      </w:r>
      <w:r>
        <w:rPr>
          <w:rFonts w:ascii="宋体" w:hAnsi="宋体" w:hint="eastAsia"/>
          <w:b/>
          <w:spacing w:val="40"/>
          <w:sz w:val="32"/>
          <w:szCs w:val="32"/>
        </w:rPr>
        <w:t>2023年度</w:t>
      </w:r>
      <w:r>
        <w:rPr>
          <w:rFonts w:ascii="宋体" w:hAnsi="宋体" w:cs="宋体" w:hint="eastAsia"/>
          <w:b/>
          <w:spacing w:val="40"/>
          <w:kern w:val="0"/>
          <w:sz w:val="32"/>
          <w:szCs w:val="32"/>
        </w:rPr>
        <w:t>其他重要事项的情况说明</w:t>
      </w:r>
    </w:p>
    <w:p w:rsidR="003840E1" w:rsidRDefault="001740B7">
      <w:pPr>
        <w:spacing w:line="560" w:lineRule="exact"/>
        <w:ind w:firstLineChars="200" w:firstLine="560"/>
        <w:rPr>
          <w:rFonts w:ascii="黑体" w:eastAsia="黑体"/>
          <w:sz w:val="28"/>
          <w:szCs w:val="28"/>
        </w:rPr>
      </w:pPr>
      <w:r>
        <w:rPr>
          <w:rFonts w:ascii="黑体" w:eastAsia="黑体" w:hint="eastAsia"/>
          <w:sz w:val="28"/>
          <w:szCs w:val="28"/>
        </w:rPr>
        <w:t>一、“三公”经费财政拨款决算情况</w:t>
      </w:r>
    </w:p>
    <w:p w:rsidR="003840E1" w:rsidRDefault="001740B7">
      <w:pPr>
        <w:spacing w:line="560" w:lineRule="exact"/>
        <w:ind w:firstLine="600"/>
        <w:rPr>
          <w:rFonts w:ascii="仿宋_GB2312" w:eastAsia="仿宋_GB2312"/>
          <w:sz w:val="28"/>
          <w:szCs w:val="28"/>
        </w:rPr>
      </w:pPr>
      <w:r>
        <w:rPr>
          <w:rFonts w:ascii="仿宋_GB2312" w:eastAsia="仿宋_GB2312" w:hint="eastAsia"/>
          <w:sz w:val="28"/>
          <w:szCs w:val="28"/>
        </w:rPr>
        <w:t>“三公”经费包括本单位所属0个行政单位、0个</w:t>
      </w:r>
      <w:r>
        <w:rPr>
          <w:rFonts w:ascii="仿宋_GB2312" w:eastAsia="仿宋_GB2312"/>
          <w:sz w:val="28"/>
          <w:szCs w:val="28"/>
        </w:rPr>
        <w:t>参</w:t>
      </w:r>
      <w:r>
        <w:rPr>
          <w:rFonts w:ascii="仿宋_GB2312" w:eastAsia="仿宋_GB2312" w:hint="eastAsia"/>
          <w:sz w:val="28"/>
          <w:szCs w:val="28"/>
        </w:rPr>
        <w:t>照</w:t>
      </w:r>
      <w:r>
        <w:rPr>
          <w:rFonts w:ascii="仿宋_GB2312" w:eastAsia="仿宋_GB2312"/>
          <w:sz w:val="28"/>
          <w:szCs w:val="28"/>
        </w:rPr>
        <w:t>公务员法管理事业单位</w:t>
      </w:r>
      <w:r>
        <w:rPr>
          <w:rFonts w:ascii="仿宋_GB2312" w:eastAsia="仿宋_GB2312" w:hint="eastAsia"/>
          <w:sz w:val="28"/>
          <w:szCs w:val="28"/>
        </w:rPr>
        <w:t>、1</w:t>
      </w:r>
      <w:r>
        <w:rPr>
          <w:rFonts w:ascii="仿宋_GB2312" w:eastAsia="仿宋_GB2312" w:hint="eastAsia"/>
          <w:bCs/>
          <w:sz w:val="28"/>
          <w:szCs w:val="28"/>
        </w:rPr>
        <w:t>个</w:t>
      </w:r>
      <w:r>
        <w:rPr>
          <w:rFonts w:ascii="仿宋_GB2312" w:eastAsia="仿宋_GB2312" w:hint="eastAsia"/>
          <w:sz w:val="28"/>
          <w:szCs w:val="28"/>
        </w:rPr>
        <w:t>事业单位。2023年度“三公”经费财政拨款决算数</w:t>
      </w:r>
      <w:r>
        <w:rPr>
          <w:rFonts w:ascii="仿宋_GB2312" w:eastAsia="仿宋_GB2312"/>
          <w:sz w:val="28"/>
          <w:szCs w:val="28"/>
        </w:rPr>
        <w:t>12.72</w:t>
      </w:r>
      <w:r>
        <w:rPr>
          <w:rFonts w:ascii="仿宋_GB2312" w:eastAsia="仿宋_GB2312" w:hint="eastAsia"/>
          <w:sz w:val="28"/>
          <w:szCs w:val="28"/>
        </w:rPr>
        <w:t>万元，比2023年度“三公”经费财政拨款年初预算</w:t>
      </w:r>
      <w:r>
        <w:rPr>
          <w:rFonts w:ascii="仿宋_GB2312" w:eastAsia="仿宋_GB2312"/>
          <w:sz w:val="28"/>
          <w:szCs w:val="28"/>
        </w:rPr>
        <w:t>16.5</w:t>
      </w:r>
      <w:r>
        <w:rPr>
          <w:rFonts w:ascii="仿宋_GB2312" w:eastAsia="仿宋_GB2312" w:hint="eastAsia"/>
          <w:sz w:val="28"/>
          <w:szCs w:val="28"/>
        </w:rPr>
        <w:t>0万元减少</w:t>
      </w:r>
      <w:r>
        <w:rPr>
          <w:rFonts w:ascii="仿宋_GB2312" w:eastAsia="仿宋_GB2312"/>
          <w:sz w:val="28"/>
          <w:szCs w:val="28"/>
        </w:rPr>
        <w:t>3.7</w:t>
      </w:r>
      <w:r>
        <w:rPr>
          <w:rFonts w:ascii="仿宋_GB2312" w:eastAsia="仿宋_GB2312" w:hint="eastAsia"/>
          <w:sz w:val="28"/>
          <w:szCs w:val="28"/>
        </w:rPr>
        <w:t>8万元。其中：</w:t>
      </w:r>
    </w:p>
    <w:p w:rsidR="003840E1" w:rsidRDefault="001740B7">
      <w:pPr>
        <w:spacing w:line="560" w:lineRule="exact"/>
        <w:ind w:firstLine="600"/>
        <w:rPr>
          <w:rFonts w:ascii="仿宋_GB2312" w:eastAsia="仿宋_GB2312"/>
          <w:sz w:val="28"/>
          <w:szCs w:val="28"/>
        </w:rPr>
      </w:pPr>
      <w:r>
        <w:rPr>
          <w:rFonts w:ascii="仿宋_GB2312" w:eastAsia="仿宋_GB2312" w:hint="eastAsia"/>
          <w:sz w:val="28"/>
          <w:szCs w:val="28"/>
        </w:rPr>
        <w:t>1.因公出国（境）费用。2023年度决算数</w:t>
      </w:r>
      <w:r>
        <w:rPr>
          <w:rFonts w:ascii="仿宋_GB2312" w:eastAsia="仿宋_GB2312"/>
          <w:sz w:val="28"/>
          <w:szCs w:val="28"/>
        </w:rPr>
        <w:t>0</w:t>
      </w:r>
      <w:r>
        <w:rPr>
          <w:rFonts w:ascii="仿宋_GB2312" w:eastAsia="仿宋_GB2312" w:hint="eastAsia"/>
          <w:sz w:val="28"/>
          <w:szCs w:val="28"/>
        </w:rPr>
        <w:t>.00万元，与2023年度年初预算数持平。2023年度组织因公出国（境）团组0个、0人次，人均因公出国（境）费用0.00万元。</w:t>
      </w:r>
    </w:p>
    <w:p w:rsidR="003840E1" w:rsidRDefault="001740B7">
      <w:pPr>
        <w:spacing w:line="560" w:lineRule="exact"/>
        <w:ind w:firstLine="600"/>
        <w:rPr>
          <w:rFonts w:ascii="仿宋_GB2312" w:eastAsia="仿宋_GB2312"/>
          <w:sz w:val="28"/>
          <w:szCs w:val="28"/>
        </w:rPr>
      </w:pPr>
      <w:r>
        <w:rPr>
          <w:rFonts w:ascii="仿宋_GB2312" w:eastAsia="仿宋_GB2312" w:hint="eastAsia"/>
          <w:sz w:val="28"/>
          <w:szCs w:val="28"/>
        </w:rPr>
        <w:t>2.公务接待费。2023年度决算数</w:t>
      </w:r>
      <w:r>
        <w:rPr>
          <w:rFonts w:ascii="仿宋_GB2312" w:eastAsia="仿宋_GB2312"/>
          <w:sz w:val="28"/>
          <w:szCs w:val="28"/>
        </w:rPr>
        <w:t>0.72</w:t>
      </w:r>
      <w:r>
        <w:rPr>
          <w:rFonts w:ascii="仿宋_GB2312" w:eastAsia="仿宋_GB2312" w:hint="eastAsia"/>
          <w:sz w:val="28"/>
          <w:szCs w:val="28"/>
        </w:rPr>
        <w:t>万元，比2023年度年初预算数</w:t>
      </w:r>
      <w:r>
        <w:rPr>
          <w:rFonts w:ascii="仿宋_GB2312" w:eastAsia="仿宋_GB2312"/>
          <w:sz w:val="28"/>
          <w:szCs w:val="28"/>
        </w:rPr>
        <w:t>4.5</w:t>
      </w:r>
      <w:r>
        <w:rPr>
          <w:rFonts w:ascii="仿宋_GB2312" w:eastAsia="仿宋_GB2312" w:hint="eastAsia"/>
          <w:sz w:val="28"/>
          <w:szCs w:val="28"/>
        </w:rPr>
        <w:t>0万元减少3.78万元。主要原因：落实政府过紧日子要求，厉行勤俭节约要求，严格控制公务接待数量、规模和接待标准，公务接待费相应减少。2023年度公务接待费主要用于接待来校交流人员餐费。公务接待14批次，公务接待97人次。</w:t>
      </w:r>
    </w:p>
    <w:p w:rsidR="003840E1" w:rsidRDefault="001740B7">
      <w:pPr>
        <w:spacing w:line="560" w:lineRule="exact"/>
        <w:ind w:firstLineChars="200" w:firstLine="560"/>
        <w:rPr>
          <w:rFonts w:ascii="仿宋_GB2312" w:eastAsia="仿宋_GB2312"/>
          <w:sz w:val="28"/>
          <w:szCs w:val="28"/>
        </w:rPr>
      </w:pPr>
      <w:r>
        <w:rPr>
          <w:rFonts w:ascii="仿宋_GB2312" w:eastAsia="仿宋_GB2312" w:hint="eastAsia"/>
          <w:sz w:val="28"/>
          <w:szCs w:val="28"/>
        </w:rPr>
        <w:t>3.公务用车购置及运行维护费。2023年度决算数12.00万元，与2023年度年初预算数持平。其中，公务用车购置费2023年度决算数</w:t>
      </w:r>
      <w:r>
        <w:rPr>
          <w:rFonts w:ascii="仿宋_GB2312" w:eastAsia="仿宋_GB2312"/>
          <w:sz w:val="28"/>
          <w:szCs w:val="28"/>
        </w:rPr>
        <w:t>0</w:t>
      </w:r>
      <w:r>
        <w:rPr>
          <w:rFonts w:ascii="仿宋_GB2312" w:eastAsia="仿宋_GB2312" w:hint="eastAsia"/>
          <w:sz w:val="28"/>
          <w:szCs w:val="28"/>
        </w:rPr>
        <w:t>.00万元，与2023年度年初预算数持平。2023年度购置（更新）0辆，车均购置费0.00万元。公务用车运行维护费2023年度决算数</w:t>
      </w:r>
      <w:r>
        <w:rPr>
          <w:rFonts w:ascii="仿宋_GB2312" w:eastAsia="仿宋_GB2312"/>
          <w:sz w:val="28"/>
          <w:szCs w:val="28"/>
        </w:rPr>
        <w:t>12</w:t>
      </w:r>
      <w:r>
        <w:rPr>
          <w:rFonts w:ascii="仿宋_GB2312" w:eastAsia="仿宋_GB2312" w:hint="eastAsia"/>
          <w:sz w:val="28"/>
          <w:szCs w:val="28"/>
        </w:rPr>
        <w:t>.00万元，与2023年度年初预算数持平。2023年度公务用车运行维护费中，公务用车加油5.00万元，公务用车维修5.00万元，公务用车保险2.0</w:t>
      </w:r>
      <w:r>
        <w:rPr>
          <w:rFonts w:ascii="仿宋_GB2312" w:eastAsia="仿宋_GB2312"/>
          <w:sz w:val="28"/>
          <w:szCs w:val="28"/>
        </w:rPr>
        <w:t>0</w:t>
      </w:r>
      <w:r>
        <w:rPr>
          <w:rFonts w:ascii="仿宋_GB2312" w:eastAsia="仿宋_GB2312" w:hint="eastAsia"/>
          <w:sz w:val="28"/>
          <w:szCs w:val="28"/>
        </w:rPr>
        <w:t>万元，公务用车其他支出</w:t>
      </w:r>
      <w:r>
        <w:rPr>
          <w:rFonts w:ascii="仿宋_GB2312" w:eastAsia="仿宋_GB2312"/>
          <w:sz w:val="28"/>
          <w:szCs w:val="28"/>
        </w:rPr>
        <w:t>0</w:t>
      </w:r>
      <w:r>
        <w:rPr>
          <w:rFonts w:ascii="仿宋_GB2312" w:eastAsia="仿宋_GB2312" w:hint="eastAsia"/>
          <w:sz w:val="28"/>
          <w:szCs w:val="28"/>
        </w:rPr>
        <w:t>.00万元。2023年度公务用车保有量7辆，车均运行维护费1.71万元。</w:t>
      </w:r>
    </w:p>
    <w:p w:rsidR="003840E1" w:rsidRDefault="001740B7">
      <w:pPr>
        <w:tabs>
          <w:tab w:val="center" w:pos="6979"/>
        </w:tabs>
        <w:ind w:firstLineChars="198" w:firstLine="554"/>
        <w:rPr>
          <w:rFonts w:ascii="黑体" w:eastAsia="黑体"/>
          <w:sz w:val="28"/>
          <w:szCs w:val="28"/>
        </w:rPr>
      </w:pPr>
      <w:r>
        <w:rPr>
          <w:rFonts w:ascii="黑体" w:eastAsia="黑体" w:hint="eastAsia"/>
          <w:sz w:val="28"/>
          <w:szCs w:val="28"/>
        </w:rPr>
        <w:t>二、机关运行经费支出情况</w:t>
      </w:r>
    </w:p>
    <w:p w:rsidR="003840E1" w:rsidRDefault="001740B7">
      <w:pPr>
        <w:ind w:left="540"/>
        <w:rPr>
          <w:rFonts w:ascii="仿宋_GB2312" w:eastAsia="仿宋_GB2312"/>
          <w:sz w:val="28"/>
          <w:szCs w:val="28"/>
        </w:rPr>
      </w:pPr>
      <w:r>
        <w:rPr>
          <w:rFonts w:ascii="仿宋_GB2312" w:eastAsia="仿宋_GB2312" w:hint="eastAsia"/>
          <w:sz w:val="28"/>
          <w:szCs w:val="28"/>
        </w:rPr>
        <w:t>不属于机关运行经费统计范围。</w:t>
      </w:r>
    </w:p>
    <w:p w:rsidR="003840E1" w:rsidRDefault="001740B7">
      <w:pPr>
        <w:ind w:left="540"/>
        <w:rPr>
          <w:rFonts w:ascii="黑体" w:eastAsia="黑体"/>
          <w:sz w:val="28"/>
          <w:szCs w:val="28"/>
        </w:rPr>
      </w:pPr>
      <w:r>
        <w:rPr>
          <w:rFonts w:ascii="黑体" w:eastAsia="黑体" w:hint="eastAsia"/>
          <w:sz w:val="28"/>
          <w:szCs w:val="28"/>
        </w:rPr>
        <w:lastRenderedPageBreak/>
        <w:t>三、政府采购支出情况</w:t>
      </w:r>
    </w:p>
    <w:p w:rsidR="003840E1" w:rsidRDefault="001740B7" w:rsidP="00E83AFB">
      <w:pPr>
        <w:ind w:firstLineChars="192" w:firstLine="538"/>
        <w:rPr>
          <w:rFonts w:ascii="仿宋_GB2312" w:eastAsia="仿宋_GB2312"/>
          <w:sz w:val="28"/>
          <w:szCs w:val="28"/>
        </w:rPr>
      </w:pPr>
      <w:r>
        <w:rPr>
          <w:rFonts w:ascii="仿宋_GB2312" w:eastAsia="仿宋_GB2312" w:hint="eastAsia"/>
          <w:sz w:val="28"/>
          <w:szCs w:val="28"/>
        </w:rPr>
        <w:t>2023年度政府采购支出总额</w:t>
      </w:r>
      <w:r>
        <w:rPr>
          <w:rFonts w:ascii="仿宋_GB2312" w:eastAsia="仿宋_GB2312"/>
          <w:sz w:val="28"/>
          <w:szCs w:val="28"/>
        </w:rPr>
        <w:t>6771.79</w:t>
      </w:r>
      <w:r>
        <w:rPr>
          <w:rFonts w:ascii="仿宋_GB2312" w:eastAsia="仿宋_GB2312" w:hint="eastAsia"/>
          <w:sz w:val="28"/>
          <w:szCs w:val="28"/>
        </w:rPr>
        <w:t>万元，其中：政府采购货物支出</w:t>
      </w:r>
      <w:r>
        <w:rPr>
          <w:rFonts w:ascii="仿宋_GB2312" w:eastAsia="仿宋_GB2312"/>
          <w:sz w:val="28"/>
          <w:szCs w:val="28"/>
        </w:rPr>
        <w:t>1685.52</w:t>
      </w:r>
      <w:r>
        <w:rPr>
          <w:rFonts w:ascii="仿宋_GB2312" w:eastAsia="仿宋_GB2312" w:hint="eastAsia"/>
          <w:sz w:val="28"/>
          <w:szCs w:val="28"/>
        </w:rPr>
        <w:t>万元，政府采购工程支出</w:t>
      </w:r>
      <w:r>
        <w:rPr>
          <w:rFonts w:ascii="仿宋_GB2312" w:eastAsia="仿宋_GB2312"/>
          <w:sz w:val="28"/>
          <w:szCs w:val="28"/>
        </w:rPr>
        <w:t>768.96</w:t>
      </w:r>
      <w:r>
        <w:rPr>
          <w:rFonts w:ascii="仿宋_GB2312" w:eastAsia="仿宋_GB2312" w:hint="eastAsia"/>
          <w:sz w:val="28"/>
          <w:szCs w:val="28"/>
        </w:rPr>
        <w:t>万元，政府采购服务支出</w:t>
      </w:r>
      <w:r>
        <w:rPr>
          <w:rFonts w:ascii="仿宋_GB2312" w:eastAsia="仿宋_GB2312"/>
          <w:sz w:val="28"/>
          <w:szCs w:val="28"/>
        </w:rPr>
        <w:t>4317.3</w:t>
      </w:r>
      <w:r>
        <w:rPr>
          <w:rFonts w:ascii="仿宋_GB2312" w:eastAsia="仿宋_GB2312" w:hint="eastAsia"/>
          <w:sz w:val="28"/>
          <w:szCs w:val="28"/>
        </w:rPr>
        <w:t>1万元。授予中小企业合同金额</w:t>
      </w:r>
      <w:r>
        <w:rPr>
          <w:rFonts w:ascii="仿宋_GB2312" w:eastAsia="仿宋_GB2312"/>
          <w:sz w:val="28"/>
          <w:szCs w:val="28"/>
        </w:rPr>
        <w:t>6397.07</w:t>
      </w:r>
      <w:r>
        <w:rPr>
          <w:rFonts w:ascii="仿宋_GB2312" w:eastAsia="仿宋_GB2312" w:hint="eastAsia"/>
          <w:sz w:val="28"/>
          <w:szCs w:val="28"/>
        </w:rPr>
        <w:t>万元，占政府采购支出总额的</w:t>
      </w:r>
      <w:r>
        <w:rPr>
          <w:rFonts w:ascii="仿宋_GB2312" w:eastAsia="仿宋_GB2312"/>
          <w:sz w:val="28"/>
          <w:szCs w:val="28"/>
        </w:rPr>
        <w:t>94.4</w:t>
      </w:r>
      <w:r>
        <w:rPr>
          <w:rFonts w:ascii="仿宋_GB2312" w:eastAsia="仿宋_GB2312" w:hint="eastAsia"/>
          <w:sz w:val="28"/>
          <w:szCs w:val="28"/>
        </w:rPr>
        <w:t>7%，其中：授予小微企业合同金额</w:t>
      </w:r>
      <w:r>
        <w:rPr>
          <w:rFonts w:ascii="仿宋_GB2312" w:eastAsia="仿宋_GB2312"/>
          <w:sz w:val="28"/>
          <w:szCs w:val="28"/>
        </w:rPr>
        <w:t>3782.5</w:t>
      </w:r>
      <w:r>
        <w:rPr>
          <w:rFonts w:ascii="仿宋_GB2312" w:eastAsia="仿宋_GB2312" w:hint="eastAsia"/>
          <w:sz w:val="28"/>
          <w:szCs w:val="28"/>
        </w:rPr>
        <w:t>0万元，占政府采购支出总额的</w:t>
      </w:r>
      <w:r>
        <w:rPr>
          <w:rFonts w:ascii="仿宋_GB2312" w:eastAsia="仿宋_GB2312"/>
          <w:sz w:val="28"/>
          <w:szCs w:val="28"/>
        </w:rPr>
        <w:t>55.8</w:t>
      </w:r>
      <w:r>
        <w:rPr>
          <w:rFonts w:ascii="仿宋_GB2312" w:eastAsia="仿宋_GB2312" w:hint="eastAsia"/>
          <w:sz w:val="28"/>
          <w:szCs w:val="28"/>
        </w:rPr>
        <w:t>6%。</w:t>
      </w:r>
    </w:p>
    <w:p w:rsidR="003840E1" w:rsidRDefault="001740B7">
      <w:pPr>
        <w:ind w:firstLineChars="200" w:firstLine="560"/>
        <w:rPr>
          <w:rFonts w:ascii="黑体" w:eastAsia="黑体"/>
          <w:sz w:val="28"/>
          <w:szCs w:val="28"/>
          <w:highlight w:val="yellow"/>
        </w:rPr>
      </w:pPr>
      <w:r>
        <w:rPr>
          <w:rFonts w:ascii="黑体" w:eastAsia="黑体" w:hint="eastAsia"/>
          <w:sz w:val="28"/>
          <w:szCs w:val="28"/>
        </w:rPr>
        <w:t>四、国有资产占用情况</w:t>
      </w:r>
    </w:p>
    <w:p w:rsidR="003840E1" w:rsidRDefault="001740B7">
      <w:pPr>
        <w:ind w:firstLineChars="200" w:firstLine="560"/>
        <w:rPr>
          <w:rFonts w:ascii="仿宋_GB2312" w:eastAsia="仿宋_GB2312"/>
          <w:sz w:val="32"/>
          <w:szCs w:val="32"/>
        </w:rPr>
      </w:pPr>
      <w:r>
        <w:rPr>
          <w:rFonts w:ascii="仿宋_GB2312" w:eastAsia="仿宋_GB2312" w:hint="eastAsia"/>
          <w:sz w:val="28"/>
          <w:szCs w:val="28"/>
        </w:rPr>
        <w:t>2023年度新购置车辆0台，共计0.00万元；新购置单位价值100万元（含）以上的设备0台（套），共计0.00万元。截至12月31日，本单位共有车辆8台，共计307.88万元；单位价值100万元（含）以上的设备31台（套），共计5689.28万元。</w:t>
      </w:r>
    </w:p>
    <w:p w:rsidR="003840E1" w:rsidRDefault="001740B7">
      <w:pPr>
        <w:ind w:firstLineChars="200" w:firstLine="560"/>
        <w:rPr>
          <w:rFonts w:ascii="宋体" w:hAnsi="宋体" w:cs="宋体"/>
          <w:color w:val="000000"/>
          <w:kern w:val="0"/>
          <w:sz w:val="20"/>
          <w:szCs w:val="20"/>
        </w:rPr>
      </w:pPr>
      <w:r>
        <w:rPr>
          <w:rFonts w:ascii="黑体" w:eastAsia="黑体" w:hint="eastAsia"/>
          <w:sz w:val="28"/>
          <w:szCs w:val="28"/>
        </w:rPr>
        <w:t>五</w:t>
      </w:r>
      <w:r>
        <w:rPr>
          <w:rFonts w:ascii="黑体" w:eastAsia="黑体"/>
          <w:sz w:val="28"/>
          <w:szCs w:val="28"/>
        </w:rPr>
        <w:t>、政府购买服务</w:t>
      </w:r>
      <w:r>
        <w:rPr>
          <w:rFonts w:ascii="黑体" w:eastAsia="黑体" w:hint="eastAsia"/>
          <w:sz w:val="28"/>
          <w:szCs w:val="28"/>
        </w:rPr>
        <w:t>支出</w:t>
      </w:r>
      <w:r>
        <w:rPr>
          <w:rFonts w:ascii="黑体" w:eastAsia="黑体"/>
          <w:sz w:val="28"/>
          <w:szCs w:val="28"/>
        </w:rPr>
        <w:t>说明</w:t>
      </w:r>
    </w:p>
    <w:p w:rsidR="003840E1" w:rsidRDefault="001740B7">
      <w:pPr>
        <w:ind w:firstLineChars="200" w:firstLine="560"/>
        <w:jc w:val="left"/>
        <w:rPr>
          <w:rFonts w:ascii="仿宋_GB2312" w:eastAsia="仿宋_GB2312"/>
          <w:sz w:val="28"/>
          <w:szCs w:val="28"/>
        </w:rPr>
      </w:pPr>
      <w:r>
        <w:rPr>
          <w:rFonts w:ascii="仿宋_GB2312" w:eastAsia="仿宋_GB2312" w:hint="eastAsia"/>
          <w:sz w:val="28"/>
          <w:szCs w:val="28"/>
        </w:rPr>
        <w:t>不属于政府购买服务购买主体。</w:t>
      </w:r>
    </w:p>
    <w:p w:rsidR="003840E1" w:rsidRDefault="001740B7">
      <w:pPr>
        <w:ind w:firstLineChars="200" w:firstLine="560"/>
        <w:jc w:val="left"/>
        <w:rPr>
          <w:rFonts w:ascii="仿宋_GB2312" w:eastAsia="仿宋_GB2312"/>
          <w:color w:val="000000"/>
          <w:sz w:val="32"/>
          <w:szCs w:val="32"/>
        </w:rPr>
      </w:pPr>
      <w:r>
        <w:rPr>
          <w:rFonts w:ascii="黑体" w:eastAsia="黑体" w:hint="eastAsia"/>
          <w:sz w:val="28"/>
          <w:szCs w:val="28"/>
        </w:rPr>
        <w:t>六、</w:t>
      </w:r>
      <w:r>
        <w:rPr>
          <w:rFonts w:ascii="黑体" w:eastAsia="黑体"/>
          <w:sz w:val="28"/>
          <w:szCs w:val="28"/>
        </w:rPr>
        <w:t>专业名词解释</w:t>
      </w:r>
    </w:p>
    <w:p w:rsidR="003840E1" w:rsidRDefault="001740B7">
      <w:pPr>
        <w:ind w:firstLineChars="200" w:firstLine="560"/>
        <w:rPr>
          <w:rFonts w:ascii="仿宋_GB2312" w:eastAsia="仿宋_GB2312"/>
          <w:sz w:val="28"/>
          <w:szCs w:val="28"/>
        </w:rPr>
      </w:pPr>
      <w:r>
        <w:rPr>
          <w:rFonts w:ascii="仿宋_GB2312" w:eastAsia="仿宋_GB2312" w:hint="eastAsia"/>
          <w:sz w:val="28"/>
          <w:szCs w:val="28"/>
        </w:rPr>
        <w:t>1.基本支出：指为保障机构正常运转、完成日常工作任务而发生的人员支出和公用支出。</w:t>
      </w:r>
    </w:p>
    <w:p w:rsidR="003840E1" w:rsidRDefault="001740B7">
      <w:pPr>
        <w:ind w:firstLineChars="200" w:firstLine="560"/>
        <w:rPr>
          <w:rFonts w:ascii="仿宋_GB2312" w:eastAsia="仿宋_GB2312"/>
          <w:sz w:val="28"/>
          <w:szCs w:val="28"/>
        </w:rPr>
      </w:pPr>
      <w:r>
        <w:rPr>
          <w:rFonts w:ascii="仿宋_GB2312" w:eastAsia="仿宋_GB2312" w:hint="eastAsia"/>
          <w:sz w:val="28"/>
          <w:szCs w:val="28"/>
        </w:rPr>
        <w:t>2.项目支出：指在基本支出之外为完成特定行政任务或事业发展目标所发生的支出。</w:t>
      </w:r>
    </w:p>
    <w:p w:rsidR="003840E1" w:rsidRDefault="001740B7">
      <w:pPr>
        <w:ind w:firstLineChars="200" w:firstLine="560"/>
        <w:rPr>
          <w:rFonts w:ascii="仿宋_GB2312" w:eastAsia="仿宋_GB2312" w:hAnsi="宋体"/>
          <w:sz w:val="28"/>
          <w:szCs w:val="28"/>
        </w:rPr>
      </w:pPr>
      <w:r>
        <w:rPr>
          <w:rFonts w:ascii="仿宋_GB2312" w:eastAsia="仿宋_GB2312" w:hint="eastAsia"/>
          <w:sz w:val="28"/>
          <w:szCs w:val="28"/>
        </w:rPr>
        <w:t>3.“三公”经费：</w:t>
      </w:r>
      <w:r>
        <w:rPr>
          <w:rFonts w:ascii="仿宋_GB2312" w:eastAsia="仿宋_GB2312" w:hAnsi="宋体" w:hint="eastAsia"/>
          <w:sz w:val="28"/>
          <w:szCs w:val="28"/>
        </w:rPr>
        <w:t>是指单位通过财政拨款资金安排的因公出国（境）费、公务用车购置及运行费和公务接待费。其中，因公出国（境）费指单位公务出国（境）的国际旅费、国外城市间交通费、住宿费、伙食费、培训费、公杂费等支</w:t>
      </w:r>
      <w:r>
        <w:rPr>
          <w:rFonts w:ascii="仿宋_GB2312" w:eastAsia="仿宋_GB2312" w:hAnsi="宋体" w:hint="eastAsia"/>
          <w:sz w:val="28"/>
          <w:szCs w:val="28"/>
        </w:rPr>
        <w:lastRenderedPageBreak/>
        <w:t>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rsidR="003840E1" w:rsidRDefault="001740B7">
      <w:pPr>
        <w:ind w:firstLineChars="200" w:firstLine="560"/>
        <w:rPr>
          <w:rFonts w:ascii="仿宋_GB2312" w:eastAsia="仿宋_GB2312" w:hAnsi="宋体"/>
          <w:sz w:val="28"/>
          <w:szCs w:val="28"/>
        </w:rPr>
      </w:pPr>
      <w:r>
        <w:rPr>
          <w:rFonts w:ascii="仿宋_GB2312" w:eastAsia="仿宋_GB2312" w:hint="eastAsia"/>
          <w:sz w:val="28"/>
          <w:szCs w:val="28"/>
        </w:rPr>
        <w:t>4</w:t>
      </w:r>
      <w:r>
        <w:rPr>
          <w:rFonts w:ascii="仿宋_GB2312" w:eastAsia="仿宋_GB2312"/>
          <w:sz w:val="28"/>
          <w:szCs w:val="28"/>
        </w:rPr>
        <w:t>.</w:t>
      </w:r>
      <w:r>
        <w:rPr>
          <w:rFonts w:ascii="仿宋_GB2312" w:eastAsia="仿宋_GB2312" w:hint="eastAsia"/>
          <w:sz w:val="28"/>
          <w:szCs w:val="28"/>
        </w:rPr>
        <w:t>机关运行经费：</w:t>
      </w:r>
      <w:r>
        <w:rPr>
          <w:rFonts w:ascii="仿宋_GB2312" w:eastAsia="仿宋_GB2312" w:hAnsi="宋体" w:hint="eastAsia"/>
          <w:sz w:val="28"/>
          <w:szCs w:val="28"/>
        </w:rPr>
        <w:t>指为</w:t>
      </w:r>
      <w:r>
        <w:rPr>
          <w:rFonts w:ascii="仿宋_GB2312" w:eastAsia="仿宋_GB2312" w:hAnsi="宋体"/>
          <w:sz w:val="28"/>
          <w:szCs w:val="28"/>
        </w:rPr>
        <w:t>保障</w:t>
      </w:r>
      <w:r>
        <w:rPr>
          <w:rFonts w:ascii="仿宋_GB2312" w:eastAsia="仿宋_GB2312" w:hAnsi="宋体" w:hint="eastAsia"/>
          <w:sz w:val="28"/>
          <w:szCs w:val="28"/>
        </w:rPr>
        <w:t>行政单位（含参照公务员法管理事业单位）运行用于</w:t>
      </w:r>
      <w:r>
        <w:rPr>
          <w:rFonts w:ascii="仿宋_GB2312" w:eastAsia="仿宋_GB2312" w:hAnsi="宋体"/>
          <w:sz w:val="28"/>
          <w:szCs w:val="28"/>
        </w:rPr>
        <w:t>购买货物和服务的各项资金</w:t>
      </w:r>
      <w:r>
        <w:rPr>
          <w:rFonts w:ascii="仿宋_GB2312" w:eastAsia="仿宋_GB2312" w:hAnsi="宋体" w:hint="eastAsia"/>
          <w:sz w:val="28"/>
          <w:szCs w:val="28"/>
        </w:rPr>
        <w:t>，包括办公及印刷费、邮电费、差旅费、会议费、福利费、日常维修费、专用材料及一般设备购置费、办公用房水电费、办公用房取暖费、办公用房物业管理费、公务用车运行维护费以及其他费用。</w:t>
      </w:r>
    </w:p>
    <w:p w:rsidR="003840E1" w:rsidRDefault="001740B7">
      <w:pPr>
        <w:ind w:firstLineChars="150" w:firstLine="420"/>
        <w:rPr>
          <w:rFonts w:ascii="仿宋_GB2312" w:eastAsia="仿宋_GB2312"/>
          <w:sz w:val="28"/>
          <w:szCs w:val="28"/>
        </w:rPr>
      </w:pPr>
      <w:r>
        <w:rPr>
          <w:rFonts w:ascii="仿宋_GB2312" w:eastAsia="仿宋_GB2312" w:hint="eastAsia"/>
          <w:sz w:val="28"/>
          <w:szCs w:val="28"/>
        </w:rPr>
        <w:t>5</w:t>
      </w:r>
      <w:r>
        <w:rPr>
          <w:rFonts w:ascii="仿宋_GB2312" w:eastAsia="仿宋_GB2312"/>
          <w:sz w:val="28"/>
          <w:szCs w:val="28"/>
        </w:rPr>
        <w:t>.</w:t>
      </w:r>
      <w:r>
        <w:rPr>
          <w:rFonts w:ascii="仿宋_GB2312" w:eastAsia="仿宋_GB2312" w:hint="eastAsia"/>
          <w:sz w:val="28"/>
          <w:szCs w:val="28"/>
        </w:rPr>
        <w:t>政府采购</w:t>
      </w:r>
      <w:r>
        <w:rPr>
          <w:rFonts w:ascii="仿宋_GB2312" w:eastAsia="仿宋_GB2312"/>
          <w:sz w:val="28"/>
          <w:szCs w:val="28"/>
        </w:rPr>
        <w:t>：</w:t>
      </w:r>
      <w:r>
        <w:rPr>
          <w:rFonts w:ascii="仿宋_GB2312" w:eastAsia="仿宋_GB2312" w:hint="eastAsia"/>
          <w:sz w:val="28"/>
          <w:szCs w:val="28"/>
        </w:rPr>
        <w:t>指</w:t>
      </w:r>
      <w:r>
        <w:rPr>
          <w:rFonts w:ascii="仿宋_GB2312" w:eastAsia="仿宋_GB2312"/>
          <w:sz w:val="28"/>
          <w:szCs w:val="28"/>
        </w:rPr>
        <w:t>各级国家机关、事业单位和团体组织，使用</w:t>
      </w:r>
      <w:r>
        <w:rPr>
          <w:rFonts w:ascii="仿宋_GB2312" w:eastAsia="仿宋_GB2312" w:hint="eastAsia"/>
          <w:sz w:val="28"/>
          <w:szCs w:val="28"/>
        </w:rPr>
        <w:t>财政性</w:t>
      </w:r>
      <w:r>
        <w:rPr>
          <w:rFonts w:ascii="仿宋_GB2312" w:eastAsia="仿宋_GB2312"/>
          <w:sz w:val="28"/>
          <w:szCs w:val="28"/>
        </w:rPr>
        <w:t>资金采购依法制定的集中目录以内的或者采购限额标准以上的货物、工程和服务的行为</w:t>
      </w:r>
      <w:r>
        <w:rPr>
          <w:rFonts w:ascii="仿宋_GB2312" w:eastAsia="仿宋_GB2312" w:hint="eastAsia"/>
          <w:sz w:val="28"/>
          <w:szCs w:val="28"/>
        </w:rPr>
        <w:t>，</w:t>
      </w:r>
      <w:r>
        <w:rPr>
          <w:rFonts w:ascii="仿宋_GB2312" w:eastAsia="仿宋_GB2312"/>
          <w:sz w:val="28"/>
          <w:szCs w:val="28"/>
        </w:rPr>
        <w:t>是规范财政支出管理和强化预算约束的有效措施。</w:t>
      </w:r>
    </w:p>
    <w:p w:rsidR="003840E1" w:rsidRDefault="001740B7">
      <w:pPr>
        <w:ind w:firstLineChars="150" w:firstLine="420"/>
        <w:rPr>
          <w:rFonts w:ascii="仿宋_GB2312" w:eastAsia="仿宋_GB2312"/>
          <w:sz w:val="28"/>
          <w:szCs w:val="28"/>
        </w:rPr>
      </w:pPr>
      <w:r>
        <w:rPr>
          <w:rFonts w:ascii="仿宋_GB2312" w:eastAsia="仿宋_GB2312" w:hint="eastAsia"/>
          <w:sz w:val="28"/>
          <w:szCs w:val="28"/>
        </w:rPr>
        <w:t>6</w:t>
      </w:r>
      <w:r>
        <w:rPr>
          <w:rFonts w:ascii="仿宋_GB2312" w:eastAsia="仿宋_GB2312"/>
          <w:sz w:val="28"/>
          <w:szCs w:val="28"/>
        </w:rPr>
        <w:t>.政府购买服务：</w:t>
      </w:r>
      <w:r>
        <w:rPr>
          <w:rFonts w:ascii="仿宋_GB2312" w:eastAsia="仿宋_GB2312" w:hint="eastAsia"/>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rsidR="003840E1" w:rsidRDefault="001740B7">
      <w:pPr>
        <w:ind w:firstLineChars="200" w:firstLine="560"/>
        <w:rPr>
          <w:rFonts w:ascii="仿宋_GB2312" w:eastAsia="仿宋_GB2312"/>
          <w:sz w:val="28"/>
          <w:szCs w:val="28"/>
        </w:rPr>
      </w:pPr>
      <w:r>
        <w:rPr>
          <w:rFonts w:ascii="仿宋_GB2312" w:eastAsia="仿宋_GB2312" w:hint="eastAsia"/>
          <w:sz w:val="28"/>
          <w:szCs w:val="28"/>
        </w:rPr>
        <w:t>7.教育支出（类）普通教育（款）高等教育（项）：反映各部门举办的普通本科(包括研究生)教育支出。政府各部门对社会组织等举办的普通本科高等院校 (包括研究生)的资助，如捐赠、补贴等，也在本科目中反映。</w:t>
      </w:r>
    </w:p>
    <w:p w:rsidR="003840E1" w:rsidRDefault="003840E1" w:rsidP="00E83AFB">
      <w:pPr>
        <w:ind w:firstLineChars="200" w:firstLine="634"/>
        <w:rPr>
          <w:rFonts w:ascii="仿宋_GB2312" w:eastAsia="仿宋_GB2312"/>
          <w:b/>
          <w:color w:val="000000"/>
          <w:spacing w:val="-2"/>
          <w:sz w:val="32"/>
          <w:szCs w:val="32"/>
        </w:rPr>
      </w:pPr>
    </w:p>
    <w:p w:rsidR="003840E1" w:rsidRDefault="003840E1">
      <w:pPr>
        <w:ind w:firstLineChars="200" w:firstLine="640"/>
        <w:jc w:val="center"/>
        <w:rPr>
          <w:rFonts w:ascii="黑体" w:eastAsia="黑体"/>
          <w:sz w:val="32"/>
          <w:szCs w:val="32"/>
        </w:rPr>
      </w:pPr>
    </w:p>
    <w:p w:rsidR="003840E1" w:rsidRDefault="003840E1">
      <w:pPr>
        <w:ind w:firstLineChars="200" w:firstLine="640"/>
        <w:jc w:val="center"/>
        <w:rPr>
          <w:rFonts w:ascii="黑体" w:eastAsia="黑体"/>
          <w:sz w:val="32"/>
          <w:szCs w:val="32"/>
        </w:rPr>
      </w:pPr>
    </w:p>
    <w:p w:rsidR="003840E1" w:rsidRDefault="003840E1">
      <w:pPr>
        <w:ind w:firstLineChars="200" w:firstLine="640"/>
        <w:jc w:val="center"/>
        <w:rPr>
          <w:rFonts w:ascii="黑体" w:eastAsia="黑体"/>
          <w:sz w:val="32"/>
          <w:szCs w:val="32"/>
        </w:rPr>
      </w:pPr>
    </w:p>
    <w:p w:rsidR="003840E1" w:rsidRDefault="001740B7">
      <w:pPr>
        <w:ind w:firstLineChars="200" w:firstLine="640"/>
        <w:jc w:val="center"/>
        <w:rPr>
          <w:rFonts w:ascii="黑体" w:eastAsia="黑体"/>
          <w:sz w:val="32"/>
          <w:szCs w:val="32"/>
        </w:rPr>
      </w:pPr>
      <w:r>
        <w:rPr>
          <w:rFonts w:ascii="黑体" w:eastAsia="黑体" w:hint="eastAsia"/>
          <w:sz w:val="32"/>
          <w:szCs w:val="32"/>
        </w:rPr>
        <w:lastRenderedPageBreak/>
        <w:t>第四部分  2023年度部门绩效评价情况</w:t>
      </w:r>
    </w:p>
    <w:p w:rsidR="003840E1" w:rsidRDefault="003840E1">
      <w:pPr>
        <w:ind w:firstLineChars="200" w:firstLine="560"/>
        <w:rPr>
          <w:rFonts w:ascii="仿宋_GB2312" w:eastAsia="仿宋_GB2312"/>
          <w:sz w:val="28"/>
          <w:szCs w:val="28"/>
        </w:rPr>
      </w:pPr>
    </w:p>
    <w:p w:rsidR="003840E1" w:rsidRDefault="001740B7">
      <w:pPr>
        <w:ind w:firstLineChars="200" w:firstLine="560"/>
        <w:rPr>
          <w:rFonts w:ascii="仿宋_GB2312" w:eastAsia="仿宋_GB2312"/>
          <w:sz w:val="28"/>
          <w:szCs w:val="28"/>
        </w:rPr>
      </w:pPr>
      <w:r>
        <w:rPr>
          <w:rFonts w:ascii="仿宋_GB2312" w:eastAsia="仿宋_GB2312" w:hint="eastAsia"/>
          <w:sz w:val="28"/>
          <w:szCs w:val="28"/>
        </w:rPr>
        <w:t>项目支出绩效自评表详见附件</w:t>
      </w:r>
    </w:p>
    <w:p w:rsidR="003840E1" w:rsidRDefault="003840E1">
      <w:pPr>
        <w:pStyle w:val="2"/>
      </w:pPr>
    </w:p>
    <w:p w:rsidR="003840E1" w:rsidRDefault="003840E1"/>
    <w:sectPr w:rsidR="003840E1">
      <w:footerReference w:type="even" r:id="rId11"/>
      <w:footerReference w:type="default" r:id="rId12"/>
      <w:pgSz w:w="16838" w:h="11906" w:orient="landscape"/>
      <w:pgMar w:top="1134" w:right="1134" w:bottom="1134" w:left="1134"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3C9A" w:rsidRDefault="00AC3C9A">
      <w:r>
        <w:separator/>
      </w:r>
    </w:p>
  </w:endnote>
  <w:endnote w:type="continuationSeparator" w:id="0">
    <w:p w:rsidR="00AC3C9A" w:rsidRDefault="00AC3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0E1" w:rsidRDefault="001740B7">
    <w:pPr>
      <w:pStyle w:val="a7"/>
      <w:framePr w:wrap="around" w:vAnchor="text" w:hAnchor="margin" w:xAlign="center" w:y="1"/>
      <w:rPr>
        <w:rStyle w:val="ab"/>
      </w:rPr>
    </w:pPr>
    <w:r>
      <w:fldChar w:fldCharType="begin"/>
    </w:r>
    <w:r>
      <w:rPr>
        <w:rStyle w:val="ab"/>
      </w:rPr>
      <w:instrText xml:space="preserve">PAGE  </w:instrText>
    </w:r>
    <w:r>
      <w:fldChar w:fldCharType="separate"/>
    </w:r>
    <w:r w:rsidR="00117557">
      <w:rPr>
        <w:rStyle w:val="ab"/>
        <w:noProof/>
      </w:rPr>
      <w:t>2</w:t>
    </w:r>
    <w:r>
      <w:fldChar w:fldCharType="end"/>
    </w:r>
  </w:p>
  <w:p w:rsidR="003840E1" w:rsidRDefault="003840E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0E1" w:rsidRDefault="001740B7">
    <w:pPr>
      <w:pStyle w:val="a7"/>
      <w:framePr w:wrap="around" w:vAnchor="text" w:hAnchor="margin" w:xAlign="center" w:y="1"/>
      <w:rPr>
        <w:rStyle w:val="ab"/>
      </w:rPr>
    </w:pPr>
    <w:r>
      <w:fldChar w:fldCharType="begin"/>
    </w:r>
    <w:r>
      <w:rPr>
        <w:rStyle w:val="ab"/>
      </w:rPr>
      <w:instrText xml:space="preserve">PAGE  </w:instrText>
    </w:r>
    <w:r>
      <w:fldChar w:fldCharType="separate"/>
    </w:r>
    <w:r>
      <w:rPr>
        <w:rStyle w:val="ab"/>
      </w:rPr>
      <w:t>15</w:t>
    </w:r>
    <w:r>
      <w:fldChar w:fldCharType="end"/>
    </w:r>
  </w:p>
  <w:p w:rsidR="003840E1" w:rsidRDefault="003840E1">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0E1" w:rsidRDefault="001740B7">
    <w:pPr>
      <w:pStyle w:val="a7"/>
      <w:framePr w:wrap="around" w:vAnchor="text" w:hAnchor="margin" w:xAlign="center" w:y="1"/>
      <w:rPr>
        <w:rStyle w:val="ab"/>
      </w:rPr>
    </w:pPr>
    <w:r>
      <w:fldChar w:fldCharType="begin"/>
    </w:r>
    <w:r>
      <w:rPr>
        <w:rStyle w:val="ab"/>
      </w:rPr>
      <w:instrText xml:space="preserve">PAGE  </w:instrText>
    </w:r>
    <w:r>
      <w:fldChar w:fldCharType="separate"/>
    </w:r>
    <w:r w:rsidR="00117557">
      <w:rPr>
        <w:rStyle w:val="ab"/>
        <w:noProof/>
      </w:rPr>
      <w:t>12</w:t>
    </w:r>
    <w:r>
      <w:fldChar w:fldCharType="end"/>
    </w:r>
  </w:p>
  <w:p w:rsidR="003840E1" w:rsidRDefault="003840E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3C9A" w:rsidRDefault="00AC3C9A">
      <w:r>
        <w:separator/>
      </w:r>
    </w:p>
  </w:footnote>
  <w:footnote w:type="continuationSeparator" w:id="0">
    <w:p w:rsidR="00AC3C9A" w:rsidRDefault="00AC3C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5YWRiYTU0YzU0NzgxMWM1MmM2ZWMxODhlNjE4NTYifQ=="/>
  </w:docVars>
  <w:rsids>
    <w:rsidRoot w:val="00100246"/>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A2EB2"/>
    <w:rsid w:val="000B15B7"/>
    <w:rsid w:val="000B70F1"/>
    <w:rsid w:val="000C1CD2"/>
    <w:rsid w:val="000C3004"/>
    <w:rsid w:val="000C4611"/>
    <w:rsid w:val="000C50E4"/>
    <w:rsid w:val="000D1B61"/>
    <w:rsid w:val="000D6854"/>
    <w:rsid w:val="000E0B26"/>
    <w:rsid w:val="000E3291"/>
    <w:rsid w:val="000E3437"/>
    <w:rsid w:val="000F08FE"/>
    <w:rsid w:val="000F208B"/>
    <w:rsid w:val="000F2A48"/>
    <w:rsid w:val="000F49BE"/>
    <w:rsid w:val="00100246"/>
    <w:rsid w:val="0010659C"/>
    <w:rsid w:val="0010682D"/>
    <w:rsid w:val="001073C6"/>
    <w:rsid w:val="00107DB5"/>
    <w:rsid w:val="00113613"/>
    <w:rsid w:val="0011483D"/>
    <w:rsid w:val="00115724"/>
    <w:rsid w:val="00117557"/>
    <w:rsid w:val="00130995"/>
    <w:rsid w:val="00131FF9"/>
    <w:rsid w:val="00132320"/>
    <w:rsid w:val="00135B6A"/>
    <w:rsid w:val="001369A7"/>
    <w:rsid w:val="001428C5"/>
    <w:rsid w:val="001503D8"/>
    <w:rsid w:val="001532B5"/>
    <w:rsid w:val="00157540"/>
    <w:rsid w:val="0017111F"/>
    <w:rsid w:val="00173CF6"/>
    <w:rsid w:val="001740B7"/>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3C43"/>
    <w:rsid w:val="00206EC3"/>
    <w:rsid w:val="0021047C"/>
    <w:rsid w:val="00211E4E"/>
    <w:rsid w:val="00213D1C"/>
    <w:rsid w:val="00214C3A"/>
    <w:rsid w:val="00217517"/>
    <w:rsid w:val="00222628"/>
    <w:rsid w:val="002253CB"/>
    <w:rsid w:val="002326DE"/>
    <w:rsid w:val="00234314"/>
    <w:rsid w:val="00236AF1"/>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1E6B"/>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650"/>
    <w:rsid w:val="002E68DD"/>
    <w:rsid w:val="002F17C2"/>
    <w:rsid w:val="002F32EE"/>
    <w:rsid w:val="002F4054"/>
    <w:rsid w:val="002F5574"/>
    <w:rsid w:val="00301D20"/>
    <w:rsid w:val="00302B19"/>
    <w:rsid w:val="00303428"/>
    <w:rsid w:val="00304AC7"/>
    <w:rsid w:val="003053C4"/>
    <w:rsid w:val="003058A3"/>
    <w:rsid w:val="00307DA5"/>
    <w:rsid w:val="0031169D"/>
    <w:rsid w:val="0031170D"/>
    <w:rsid w:val="00313E14"/>
    <w:rsid w:val="003167DD"/>
    <w:rsid w:val="00320C8B"/>
    <w:rsid w:val="00321BD8"/>
    <w:rsid w:val="00325687"/>
    <w:rsid w:val="00332C14"/>
    <w:rsid w:val="003335B9"/>
    <w:rsid w:val="00335079"/>
    <w:rsid w:val="003352CE"/>
    <w:rsid w:val="00341D8E"/>
    <w:rsid w:val="003502B9"/>
    <w:rsid w:val="00351B8F"/>
    <w:rsid w:val="00353226"/>
    <w:rsid w:val="00353717"/>
    <w:rsid w:val="00354630"/>
    <w:rsid w:val="00365A24"/>
    <w:rsid w:val="003712DB"/>
    <w:rsid w:val="00373DDC"/>
    <w:rsid w:val="00382A86"/>
    <w:rsid w:val="00383BCC"/>
    <w:rsid w:val="003840E1"/>
    <w:rsid w:val="00385243"/>
    <w:rsid w:val="0038665E"/>
    <w:rsid w:val="003925D4"/>
    <w:rsid w:val="0039318C"/>
    <w:rsid w:val="00393366"/>
    <w:rsid w:val="003937DC"/>
    <w:rsid w:val="00393D75"/>
    <w:rsid w:val="003A2F2D"/>
    <w:rsid w:val="003A43AC"/>
    <w:rsid w:val="003A4EB6"/>
    <w:rsid w:val="003A61AE"/>
    <w:rsid w:val="003A7AE9"/>
    <w:rsid w:val="003A7BC5"/>
    <w:rsid w:val="003A7FF5"/>
    <w:rsid w:val="003B0352"/>
    <w:rsid w:val="003B3004"/>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193A"/>
    <w:rsid w:val="00402E26"/>
    <w:rsid w:val="00405701"/>
    <w:rsid w:val="004110BC"/>
    <w:rsid w:val="0041271F"/>
    <w:rsid w:val="00413D34"/>
    <w:rsid w:val="0041688E"/>
    <w:rsid w:val="004170EF"/>
    <w:rsid w:val="0042093C"/>
    <w:rsid w:val="004233DD"/>
    <w:rsid w:val="00423E83"/>
    <w:rsid w:val="00424310"/>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64611"/>
    <w:rsid w:val="00471C52"/>
    <w:rsid w:val="0047460C"/>
    <w:rsid w:val="00474FF2"/>
    <w:rsid w:val="00480098"/>
    <w:rsid w:val="00483C29"/>
    <w:rsid w:val="00484A93"/>
    <w:rsid w:val="00485E12"/>
    <w:rsid w:val="004865DA"/>
    <w:rsid w:val="0048779C"/>
    <w:rsid w:val="00487AB7"/>
    <w:rsid w:val="00487ED0"/>
    <w:rsid w:val="00491D09"/>
    <w:rsid w:val="0049682C"/>
    <w:rsid w:val="004A0D29"/>
    <w:rsid w:val="004A168E"/>
    <w:rsid w:val="004A4EC7"/>
    <w:rsid w:val="004B0003"/>
    <w:rsid w:val="004C020A"/>
    <w:rsid w:val="004C03A3"/>
    <w:rsid w:val="004C44B8"/>
    <w:rsid w:val="004C7629"/>
    <w:rsid w:val="004D08C8"/>
    <w:rsid w:val="004D0D5D"/>
    <w:rsid w:val="004D1B82"/>
    <w:rsid w:val="004E27DD"/>
    <w:rsid w:val="004E3350"/>
    <w:rsid w:val="004E5292"/>
    <w:rsid w:val="004F2C5B"/>
    <w:rsid w:val="004F641B"/>
    <w:rsid w:val="004F71F3"/>
    <w:rsid w:val="005052FA"/>
    <w:rsid w:val="005069E1"/>
    <w:rsid w:val="00507E59"/>
    <w:rsid w:val="005122B5"/>
    <w:rsid w:val="00517856"/>
    <w:rsid w:val="0052381C"/>
    <w:rsid w:val="00525322"/>
    <w:rsid w:val="005346B3"/>
    <w:rsid w:val="0054051C"/>
    <w:rsid w:val="00546A84"/>
    <w:rsid w:val="00547BE2"/>
    <w:rsid w:val="0055353D"/>
    <w:rsid w:val="005542B3"/>
    <w:rsid w:val="0056187C"/>
    <w:rsid w:val="00576B03"/>
    <w:rsid w:val="00580DDF"/>
    <w:rsid w:val="00581E1A"/>
    <w:rsid w:val="00591655"/>
    <w:rsid w:val="00591BEC"/>
    <w:rsid w:val="005940EA"/>
    <w:rsid w:val="00594448"/>
    <w:rsid w:val="005A1D6F"/>
    <w:rsid w:val="005A2ACC"/>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0754"/>
    <w:rsid w:val="007428F0"/>
    <w:rsid w:val="007512EF"/>
    <w:rsid w:val="0075387B"/>
    <w:rsid w:val="0075485E"/>
    <w:rsid w:val="007551AC"/>
    <w:rsid w:val="0076101C"/>
    <w:rsid w:val="00763D87"/>
    <w:rsid w:val="007670B2"/>
    <w:rsid w:val="00771795"/>
    <w:rsid w:val="00774925"/>
    <w:rsid w:val="00785D08"/>
    <w:rsid w:val="0079279F"/>
    <w:rsid w:val="00793E69"/>
    <w:rsid w:val="007A063C"/>
    <w:rsid w:val="007A16B0"/>
    <w:rsid w:val="007A19EA"/>
    <w:rsid w:val="007A6092"/>
    <w:rsid w:val="007A60B7"/>
    <w:rsid w:val="007A64A6"/>
    <w:rsid w:val="007A6EE1"/>
    <w:rsid w:val="007A7C89"/>
    <w:rsid w:val="007B1487"/>
    <w:rsid w:val="007B1C9E"/>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07A7D"/>
    <w:rsid w:val="008113D6"/>
    <w:rsid w:val="00812BA7"/>
    <w:rsid w:val="00813A87"/>
    <w:rsid w:val="00813F63"/>
    <w:rsid w:val="00815F57"/>
    <w:rsid w:val="0081760B"/>
    <w:rsid w:val="008218AC"/>
    <w:rsid w:val="00825359"/>
    <w:rsid w:val="00825E13"/>
    <w:rsid w:val="00826F07"/>
    <w:rsid w:val="008337CB"/>
    <w:rsid w:val="00833E9C"/>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3150"/>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75F62"/>
    <w:rsid w:val="009826BB"/>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15BC7"/>
    <w:rsid w:val="00A17E44"/>
    <w:rsid w:val="00A22152"/>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17D9"/>
    <w:rsid w:val="00A773FF"/>
    <w:rsid w:val="00A83AA1"/>
    <w:rsid w:val="00A9343A"/>
    <w:rsid w:val="00A9706C"/>
    <w:rsid w:val="00A97B34"/>
    <w:rsid w:val="00AA1B5C"/>
    <w:rsid w:val="00AA7A27"/>
    <w:rsid w:val="00AB3FB0"/>
    <w:rsid w:val="00AB465D"/>
    <w:rsid w:val="00AB713D"/>
    <w:rsid w:val="00AC114C"/>
    <w:rsid w:val="00AC1478"/>
    <w:rsid w:val="00AC3C9A"/>
    <w:rsid w:val="00AC6C2D"/>
    <w:rsid w:val="00AC6E17"/>
    <w:rsid w:val="00AD2FF3"/>
    <w:rsid w:val="00AD3EAB"/>
    <w:rsid w:val="00AD6766"/>
    <w:rsid w:val="00AD7764"/>
    <w:rsid w:val="00AD7FE2"/>
    <w:rsid w:val="00AE1284"/>
    <w:rsid w:val="00AE1B18"/>
    <w:rsid w:val="00AE2E62"/>
    <w:rsid w:val="00AE7339"/>
    <w:rsid w:val="00AF1B0B"/>
    <w:rsid w:val="00AF242C"/>
    <w:rsid w:val="00AF3CC4"/>
    <w:rsid w:val="00AF4840"/>
    <w:rsid w:val="00AF4E34"/>
    <w:rsid w:val="00B05903"/>
    <w:rsid w:val="00B12C7A"/>
    <w:rsid w:val="00B12E10"/>
    <w:rsid w:val="00B16120"/>
    <w:rsid w:val="00B22BC3"/>
    <w:rsid w:val="00B25865"/>
    <w:rsid w:val="00B272B6"/>
    <w:rsid w:val="00B2771B"/>
    <w:rsid w:val="00B336E9"/>
    <w:rsid w:val="00B338E5"/>
    <w:rsid w:val="00B33AE5"/>
    <w:rsid w:val="00B35BE5"/>
    <w:rsid w:val="00B46965"/>
    <w:rsid w:val="00B54ED0"/>
    <w:rsid w:val="00B55D47"/>
    <w:rsid w:val="00B6204E"/>
    <w:rsid w:val="00B649EC"/>
    <w:rsid w:val="00B728DD"/>
    <w:rsid w:val="00B72D43"/>
    <w:rsid w:val="00B74121"/>
    <w:rsid w:val="00B80ABA"/>
    <w:rsid w:val="00B84D33"/>
    <w:rsid w:val="00B859FF"/>
    <w:rsid w:val="00B85C1B"/>
    <w:rsid w:val="00B85FF0"/>
    <w:rsid w:val="00B86150"/>
    <w:rsid w:val="00B878F9"/>
    <w:rsid w:val="00B9044A"/>
    <w:rsid w:val="00B960F3"/>
    <w:rsid w:val="00B96A31"/>
    <w:rsid w:val="00BA05E6"/>
    <w:rsid w:val="00BA51B0"/>
    <w:rsid w:val="00BA6319"/>
    <w:rsid w:val="00BB5F13"/>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3E9E"/>
    <w:rsid w:val="00C04ECC"/>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67B2"/>
    <w:rsid w:val="00C9771B"/>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3888"/>
    <w:rsid w:val="00D1505F"/>
    <w:rsid w:val="00D15B9F"/>
    <w:rsid w:val="00D15DD6"/>
    <w:rsid w:val="00D25548"/>
    <w:rsid w:val="00D2601F"/>
    <w:rsid w:val="00D27759"/>
    <w:rsid w:val="00D30028"/>
    <w:rsid w:val="00D325D3"/>
    <w:rsid w:val="00D408D6"/>
    <w:rsid w:val="00D50100"/>
    <w:rsid w:val="00D511DD"/>
    <w:rsid w:val="00D54D0C"/>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3FEC"/>
    <w:rsid w:val="00DE7F67"/>
    <w:rsid w:val="00DF0529"/>
    <w:rsid w:val="00DF09EF"/>
    <w:rsid w:val="00DF0D0F"/>
    <w:rsid w:val="00DF13D6"/>
    <w:rsid w:val="00DF27D6"/>
    <w:rsid w:val="00DF2BEA"/>
    <w:rsid w:val="00DF4488"/>
    <w:rsid w:val="00DF5B98"/>
    <w:rsid w:val="00DF6FA8"/>
    <w:rsid w:val="00DF701E"/>
    <w:rsid w:val="00DF703F"/>
    <w:rsid w:val="00DF7BE5"/>
    <w:rsid w:val="00E00D49"/>
    <w:rsid w:val="00E019A8"/>
    <w:rsid w:val="00E03A46"/>
    <w:rsid w:val="00E03C6D"/>
    <w:rsid w:val="00E0476F"/>
    <w:rsid w:val="00E04899"/>
    <w:rsid w:val="00E0796F"/>
    <w:rsid w:val="00E10948"/>
    <w:rsid w:val="00E24371"/>
    <w:rsid w:val="00E243AB"/>
    <w:rsid w:val="00E26641"/>
    <w:rsid w:val="00E2778F"/>
    <w:rsid w:val="00E33023"/>
    <w:rsid w:val="00E331F3"/>
    <w:rsid w:val="00E3498D"/>
    <w:rsid w:val="00E37A3A"/>
    <w:rsid w:val="00E42425"/>
    <w:rsid w:val="00E43E55"/>
    <w:rsid w:val="00E4554E"/>
    <w:rsid w:val="00E46D22"/>
    <w:rsid w:val="00E4768F"/>
    <w:rsid w:val="00E53C0E"/>
    <w:rsid w:val="00E54F7E"/>
    <w:rsid w:val="00E560CE"/>
    <w:rsid w:val="00E5674E"/>
    <w:rsid w:val="00E63783"/>
    <w:rsid w:val="00E650E2"/>
    <w:rsid w:val="00E75CAD"/>
    <w:rsid w:val="00E76922"/>
    <w:rsid w:val="00E83AFB"/>
    <w:rsid w:val="00E8595B"/>
    <w:rsid w:val="00E915EC"/>
    <w:rsid w:val="00EA11B1"/>
    <w:rsid w:val="00EA2224"/>
    <w:rsid w:val="00EA7194"/>
    <w:rsid w:val="00EB1329"/>
    <w:rsid w:val="00EB2987"/>
    <w:rsid w:val="00EB2D75"/>
    <w:rsid w:val="00EB34BE"/>
    <w:rsid w:val="00EB571A"/>
    <w:rsid w:val="00EC2804"/>
    <w:rsid w:val="00EC6117"/>
    <w:rsid w:val="00EC6138"/>
    <w:rsid w:val="00EC6AF5"/>
    <w:rsid w:val="00ED1DCF"/>
    <w:rsid w:val="00ED43C9"/>
    <w:rsid w:val="00EE2C60"/>
    <w:rsid w:val="00EE2E58"/>
    <w:rsid w:val="00EE3C50"/>
    <w:rsid w:val="00EE487A"/>
    <w:rsid w:val="00EE72FD"/>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00CE"/>
    <w:rsid w:val="00FA15F1"/>
    <w:rsid w:val="00FA19F5"/>
    <w:rsid w:val="00FA4A69"/>
    <w:rsid w:val="00FA649A"/>
    <w:rsid w:val="00FB1248"/>
    <w:rsid w:val="00FB208D"/>
    <w:rsid w:val="00FB3CF4"/>
    <w:rsid w:val="00FB4A27"/>
    <w:rsid w:val="00FB4A49"/>
    <w:rsid w:val="00FB69B3"/>
    <w:rsid w:val="00FC542A"/>
    <w:rsid w:val="00FC6FBE"/>
    <w:rsid w:val="00FD1162"/>
    <w:rsid w:val="00FD2232"/>
    <w:rsid w:val="00FD4AE7"/>
    <w:rsid w:val="00FD65A9"/>
    <w:rsid w:val="00FD7508"/>
    <w:rsid w:val="00FE1E51"/>
    <w:rsid w:val="00FE2496"/>
    <w:rsid w:val="00FE631A"/>
    <w:rsid w:val="00FE6A2B"/>
    <w:rsid w:val="00FF0275"/>
    <w:rsid w:val="00FF07B3"/>
    <w:rsid w:val="00FF1E37"/>
    <w:rsid w:val="075C65AF"/>
    <w:rsid w:val="079004AC"/>
    <w:rsid w:val="0F405190"/>
    <w:rsid w:val="0F8E2C57"/>
    <w:rsid w:val="0FBC1346"/>
    <w:rsid w:val="0FF87EA4"/>
    <w:rsid w:val="1059665E"/>
    <w:rsid w:val="10AC13BA"/>
    <w:rsid w:val="1AEC0734"/>
    <w:rsid w:val="1CC82D35"/>
    <w:rsid w:val="1DEF20B0"/>
    <w:rsid w:val="1EB8717C"/>
    <w:rsid w:val="20745325"/>
    <w:rsid w:val="214243FA"/>
    <w:rsid w:val="257A14F5"/>
    <w:rsid w:val="27196C26"/>
    <w:rsid w:val="29EF086F"/>
    <w:rsid w:val="2CCB003E"/>
    <w:rsid w:val="2EFFE297"/>
    <w:rsid w:val="301437CA"/>
    <w:rsid w:val="36EB6C67"/>
    <w:rsid w:val="3B911029"/>
    <w:rsid w:val="3F9E5AC2"/>
    <w:rsid w:val="42703746"/>
    <w:rsid w:val="433E495C"/>
    <w:rsid w:val="4869579D"/>
    <w:rsid w:val="4AC27CB3"/>
    <w:rsid w:val="4BF72BEF"/>
    <w:rsid w:val="4C123AC0"/>
    <w:rsid w:val="4D186EB4"/>
    <w:rsid w:val="4E2D2E33"/>
    <w:rsid w:val="51DB3C59"/>
    <w:rsid w:val="537F3A4F"/>
    <w:rsid w:val="55762E42"/>
    <w:rsid w:val="57A7B272"/>
    <w:rsid w:val="58470068"/>
    <w:rsid w:val="5A1720F9"/>
    <w:rsid w:val="5B9C37C2"/>
    <w:rsid w:val="5BA7C654"/>
    <w:rsid w:val="61FC06FB"/>
    <w:rsid w:val="645760BC"/>
    <w:rsid w:val="64C0607C"/>
    <w:rsid w:val="676F09E1"/>
    <w:rsid w:val="70076BE8"/>
    <w:rsid w:val="7A7F1C49"/>
    <w:rsid w:val="7B5B7AE6"/>
    <w:rsid w:val="7BA7071E"/>
    <w:rsid w:val="7BDF6DA8"/>
    <w:rsid w:val="7C7EDC1A"/>
    <w:rsid w:val="7CCED98D"/>
    <w:rsid w:val="7D08410F"/>
    <w:rsid w:val="7DB96DED"/>
    <w:rsid w:val="7DD3AD81"/>
    <w:rsid w:val="7F7FE70F"/>
    <w:rsid w:val="7FFF77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Indent"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szCs w:val="24"/>
    </w:rPr>
  </w:style>
  <w:style w:type="paragraph" w:styleId="2">
    <w:name w:val="heading 2"/>
    <w:basedOn w:val="a"/>
    <w:next w:val="a"/>
    <w:qFormat/>
    <w:pPr>
      <w:keepNext/>
      <w:keepLines/>
      <w:spacing w:before="100" w:beforeAutospacing="1" w:after="100" w:afterAutospacing="1"/>
      <w:outlineLvl w:val="1"/>
    </w:pPr>
    <w:rPr>
      <w:rFonts w:ascii="Cambria" w:eastAsia="黑体" w:hAnsi="Cambria"/>
      <w:b/>
      <w:bCs/>
      <w:kern w:val="0"/>
      <w:sz w:val="36"/>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Chars="200" w:firstLine="200"/>
    </w:pPr>
  </w:style>
  <w:style w:type="paragraph" w:styleId="a4">
    <w:name w:val="Body Text Indent"/>
    <w:basedOn w:val="a"/>
    <w:qFormat/>
    <w:pPr>
      <w:ind w:firstLine="645"/>
    </w:pPr>
    <w:rPr>
      <w:rFonts w:ascii="仿宋_GB2312" w:eastAsia="仿宋_GB2312" w:hAnsi="Calibri"/>
      <w:sz w:val="32"/>
      <w:szCs w:val="32"/>
    </w:rPr>
  </w:style>
  <w:style w:type="paragraph" w:styleId="a5">
    <w:name w:val="Date"/>
    <w:basedOn w:val="a"/>
    <w:next w:val="a"/>
    <w:qFormat/>
    <w:pPr>
      <w:ind w:leftChars="2500" w:left="100"/>
    </w:pPr>
  </w:style>
  <w:style w:type="paragraph" w:styleId="a6">
    <w:name w:val="Balloon Text"/>
    <w:basedOn w:val="a"/>
    <w:semiHidden/>
    <w:qFormat/>
    <w:rPr>
      <w:sz w:val="18"/>
      <w:szCs w:val="18"/>
    </w:rPr>
  </w:style>
  <w:style w:type="paragraph" w:styleId="a7">
    <w:name w:val="footer"/>
    <w:basedOn w:val="a"/>
    <w:link w:val="Char"/>
    <w:qFormat/>
    <w:pPr>
      <w:tabs>
        <w:tab w:val="center" w:pos="4153"/>
        <w:tab w:val="right" w:pos="8306"/>
      </w:tabs>
      <w:snapToGrid w:val="0"/>
      <w:jc w:val="left"/>
    </w:pPr>
    <w:rPr>
      <w:sz w:val="18"/>
      <w:szCs w:val="18"/>
    </w:rPr>
  </w:style>
  <w:style w:type="paragraph" w:styleId="a8">
    <w:name w:val="header"/>
    <w:basedOn w:val="a"/>
    <w:link w:val="Char0"/>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Normal (Web)"/>
    <w:basedOn w:val="a"/>
    <w:unhideWhenUsed/>
    <w:qFormat/>
    <w:pPr>
      <w:spacing w:before="100" w:beforeAutospacing="1" w:after="100" w:afterAutospacing="1"/>
      <w:ind w:right="238"/>
      <w:jc w:val="left"/>
    </w:pPr>
    <w:rPr>
      <w:b/>
      <w:kern w:val="0"/>
      <w:sz w:val="24"/>
      <w:szCs w:val="20"/>
    </w:rPr>
  </w:style>
  <w:style w:type="character" w:styleId="aa">
    <w:name w:val="Strong"/>
    <w:qFormat/>
    <w:rPr>
      <w:b/>
    </w:rPr>
  </w:style>
  <w:style w:type="character" w:styleId="ab">
    <w:name w:val="page number"/>
    <w:qFormat/>
  </w:style>
  <w:style w:type="character" w:customStyle="1" w:styleId="Char">
    <w:name w:val="页脚 Char"/>
    <w:link w:val="a7"/>
    <w:qFormat/>
    <w:rPr>
      <w:rFonts w:eastAsia="宋体"/>
      <w:kern w:val="2"/>
      <w:sz w:val="18"/>
      <w:szCs w:val="18"/>
      <w:lang w:val="en-US" w:eastAsia="zh-CN" w:bidi="ar-SA"/>
    </w:rPr>
  </w:style>
  <w:style w:type="character" w:customStyle="1" w:styleId="Char0">
    <w:name w:val="页眉 Char"/>
    <w:link w:val="a8"/>
    <w:qFormat/>
    <w:rPr>
      <w:rFonts w:ascii="Calibri" w:eastAsia="宋体" w:hAnsi="Calibri"/>
      <w:kern w:val="2"/>
      <w:sz w:val="18"/>
      <w:szCs w:val="18"/>
      <w:lang w:val="en-US" w:eastAsia="zh-CN" w:bidi="ar-SA"/>
    </w:rPr>
  </w:style>
  <w:style w:type="paragraph" w:customStyle="1" w:styleId="CharCharCharCharCharCharChar">
    <w:name w:val="Char Char Char Char Char Char Char"/>
    <w:basedOn w:val="a"/>
    <w:qFormat/>
    <w:rPr>
      <w:rFonts w:ascii="Tahoma" w:hAnsi="Tahoma"/>
      <w:sz w:val="24"/>
      <w:szCs w:val="20"/>
    </w:rPr>
  </w:style>
  <w:style w:type="paragraph" w:customStyle="1" w:styleId="Char1CharCharChar">
    <w:name w:val="Char1 Char Char Char"/>
    <w:basedOn w:val="a"/>
    <w:qFormat/>
    <w:pPr>
      <w:widowControl/>
      <w:spacing w:after="160" w:line="240" w:lineRule="exact"/>
      <w:jc w:val="left"/>
    </w:pPr>
    <w:rPr>
      <w:szCs w:val="20"/>
    </w:rPr>
  </w:style>
  <w:style w:type="paragraph" w:customStyle="1" w:styleId="Char1">
    <w:name w:val="Char"/>
    <w:basedOn w:val="a"/>
    <w:qFormat/>
    <w:rPr>
      <w:rFonts w:ascii="Tahoma" w:hAnsi="Tahoma"/>
      <w:sz w:val="24"/>
      <w:szCs w:val="20"/>
    </w:rPr>
  </w:style>
  <w:style w:type="paragraph" w:customStyle="1" w:styleId="CharChar3CharChar">
    <w:name w:val="Char Char3 Char Char"/>
    <w:basedOn w:val="a"/>
    <w:qFormat/>
    <w:rPr>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Indent"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szCs w:val="24"/>
    </w:rPr>
  </w:style>
  <w:style w:type="paragraph" w:styleId="2">
    <w:name w:val="heading 2"/>
    <w:basedOn w:val="a"/>
    <w:next w:val="a"/>
    <w:qFormat/>
    <w:pPr>
      <w:keepNext/>
      <w:keepLines/>
      <w:spacing w:before="100" w:beforeAutospacing="1" w:after="100" w:afterAutospacing="1"/>
      <w:outlineLvl w:val="1"/>
    </w:pPr>
    <w:rPr>
      <w:rFonts w:ascii="Cambria" w:eastAsia="黑体" w:hAnsi="Cambria"/>
      <w:b/>
      <w:bCs/>
      <w:kern w:val="0"/>
      <w:sz w:val="36"/>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Chars="200" w:firstLine="200"/>
    </w:pPr>
  </w:style>
  <w:style w:type="paragraph" w:styleId="a4">
    <w:name w:val="Body Text Indent"/>
    <w:basedOn w:val="a"/>
    <w:qFormat/>
    <w:pPr>
      <w:ind w:firstLine="645"/>
    </w:pPr>
    <w:rPr>
      <w:rFonts w:ascii="仿宋_GB2312" w:eastAsia="仿宋_GB2312" w:hAnsi="Calibri"/>
      <w:sz w:val="32"/>
      <w:szCs w:val="32"/>
    </w:rPr>
  </w:style>
  <w:style w:type="paragraph" w:styleId="a5">
    <w:name w:val="Date"/>
    <w:basedOn w:val="a"/>
    <w:next w:val="a"/>
    <w:qFormat/>
    <w:pPr>
      <w:ind w:leftChars="2500" w:left="100"/>
    </w:pPr>
  </w:style>
  <w:style w:type="paragraph" w:styleId="a6">
    <w:name w:val="Balloon Text"/>
    <w:basedOn w:val="a"/>
    <w:semiHidden/>
    <w:qFormat/>
    <w:rPr>
      <w:sz w:val="18"/>
      <w:szCs w:val="18"/>
    </w:rPr>
  </w:style>
  <w:style w:type="paragraph" w:styleId="a7">
    <w:name w:val="footer"/>
    <w:basedOn w:val="a"/>
    <w:link w:val="Char"/>
    <w:qFormat/>
    <w:pPr>
      <w:tabs>
        <w:tab w:val="center" w:pos="4153"/>
        <w:tab w:val="right" w:pos="8306"/>
      </w:tabs>
      <w:snapToGrid w:val="0"/>
      <w:jc w:val="left"/>
    </w:pPr>
    <w:rPr>
      <w:sz w:val="18"/>
      <w:szCs w:val="18"/>
    </w:rPr>
  </w:style>
  <w:style w:type="paragraph" w:styleId="a8">
    <w:name w:val="header"/>
    <w:basedOn w:val="a"/>
    <w:link w:val="Char0"/>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Normal (Web)"/>
    <w:basedOn w:val="a"/>
    <w:unhideWhenUsed/>
    <w:qFormat/>
    <w:pPr>
      <w:spacing w:before="100" w:beforeAutospacing="1" w:after="100" w:afterAutospacing="1"/>
      <w:ind w:right="238"/>
      <w:jc w:val="left"/>
    </w:pPr>
    <w:rPr>
      <w:b/>
      <w:kern w:val="0"/>
      <w:sz w:val="24"/>
      <w:szCs w:val="20"/>
    </w:rPr>
  </w:style>
  <w:style w:type="character" w:styleId="aa">
    <w:name w:val="Strong"/>
    <w:qFormat/>
    <w:rPr>
      <w:b/>
    </w:rPr>
  </w:style>
  <w:style w:type="character" w:styleId="ab">
    <w:name w:val="page number"/>
    <w:qFormat/>
  </w:style>
  <w:style w:type="character" w:customStyle="1" w:styleId="Char">
    <w:name w:val="页脚 Char"/>
    <w:link w:val="a7"/>
    <w:qFormat/>
    <w:rPr>
      <w:rFonts w:eastAsia="宋体"/>
      <w:kern w:val="2"/>
      <w:sz w:val="18"/>
      <w:szCs w:val="18"/>
      <w:lang w:val="en-US" w:eastAsia="zh-CN" w:bidi="ar-SA"/>
    </w:rPr>
  </w:style>
  <w:style w:type="character" w:customStyle="1" w:styleId="Char0">
    <w:name w:val="页眉 Char"/>
    <w:link w:val="a8"/>
    <w:qFormat/>
    <w:rPr>
      <w:rFonts w:ascii="Calibri" w:eastAsia="宋体" w:hAnsi="Calibri"/>
      <w:kern w:val="2"/>
      <w:sz w:val="18"/>
      <w:szCs w:val="18"/>
      <w:lang w:val="en-US" w:eastAsia="zh-CN" w:bidi="ar-SA"/>
    </w:rPr>
  </w:style>
  <w:style w:type="paragraph" w:customStyle="1" w:styleId="CharCharCharCharCharCharChar">
    <w:name w:val="Char Char Char Char Char Char Char"/>
    <w:basedOn w:val="a"/>
    <w:qFormat/>
    <w:rPr>
      <w:rFonts w:ascii="Tahoma" w:hAnsi="Tahoma"/>
      <w:sz w:val="24"/>
      <w:szCs w:val="20"/>
    </w:rPr>
  </w:style>
  <w:style w:type="paragraph" w:customStyle="1" w:styleId="Char1CharCharChar">
    <w:name w:val="Char1 Char Char Char"/>
    <w:basedOn w:val="a"/>
    <w:qFormat/>
    <w:pPr>
      <w:widowControl/>
      <w:spacing w:after="160" w:line="240" w:lineRule="exact"/>
      <w:jc w:val="left"/>
    </w:pPr>
    <w:rPr>
      <w:szCs w:val="20"/>
    </w:rPr>
  </w:style>
  <w:style w:type="paragraph" w:customStyle="1" w:styleId="Char1">
    <w:name w:val="Char"/>
    <w:basedOn w:val="a"/>
    <w:qFormat/>
    <w:rPr>
      <w:rFonts w:ascii="Tahoma" w:hAnsi="Tahoma"/>
      <w:sz w:val="24"/>
      <w:szCs w:val="20"/>
    </w:rPr>
  </w:style>
  <w:style w:type="paragraph" w:customStyle="1" w:styleId="CharChar3CharChar">
    <w:name w:val="Char Char3 Char Char"/>
    <w:basedOn w:val="a"/>
    <w:qFormat/>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___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___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lang="en-US"/>
              <a:t>收入决算</a:t>
            </a:r>
            <a:endParaRPr lang="en-US" sz="1100"/>
          </a:p>
        </c:rich>
      </c:tx>
      <c:overlay val="0"/>
      <c:spPr>
        <a:noFill/>
        <a:ln>
          <a:noFill/>
        </a:ln>
        <a:effectLst/>
      </c:spPr>
    </c:title>
    <c:autoTitleDeleted val="0"/>
    <c:plotArea>
      <c:layout/>
      <c:pieChart>
        <c:varyColors val="1"/>
        <c:ser>
          <c:idx val="0"/>
          <c:order val="0"/>
          <c:tx>
            <c:strRef>
              <c:f>Sheet1!$B$1</c:f>
              <c:strCache>
                <c:ptCount val="1"/>
                <c:pt idx="0">
                  <c:v>收入</c:v>
                </c:pt>
              </c:strCache>
            </c:strRef>
          </c:tx>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Pt>
            <c:idx val="5"/>
            <c:bubble3D val="0"/>
            <c:spPr>
              <a:solidFill>
                <a:schemeClr val="accent6"/>
              </a:solidFill>
              <a:ln>
                <a:solidFill>
                  <a:schemeClr val="bg1"/>
                </a:solidFill>
              </a:ln>
              <a:effectLst/>
            </c:spPr>
          </c:dPt>
          <c:dLbls>
            <c:dLbl>
              <c:idx val="0"/>
              <c:tx>
                <c:rich>
                  <a:bodyPr/>
                  <a:lstStyle/>
                  <a:p>
                    <a:r>
                      <a:rPr lang="en-US" altLang="zh-CN"/>
                      <a:t>77.37%</a:t>
                    </a:r>
                  </a:p>
                </c:rich>
              </c:tx>
              <c:dLblPos val="inEnd"/>
              <c:showLegendKey val="0"/>
              <c:showVal val="0"/>
              <c:showCatName val="0"/>
              <c:showSerName val="0"/>
              <c:showPercent val="1"/>
              <c:showBubbleSize val="0"/>
              <c:extLst>
                <c:ext xmlns:c15="http://schemas.microsoft.com/office/drawing/2012/chart" uri="{CE6537A1-D6FC-4f65-9D91-7224C49458BB}"/>
              </c:extLst>
            </c:dLbl>
            <c:dLbl>
              <c:idx val="1"/>
              <c:delete val="1"/>
            </c:dLbl>
            <c:dLbl>
              <c:idx val="2"/>
              <c:layout>
                <c:manualLayout>
                  <c:x val="8.9586716928800297E-2"/>
                  <c:y val="0.12860911785218301"/>
                </c:manualLayout>
              </c:layout>
              <c:tx>
                <c:rich>
                  <a:bodyPr/>
                  <a:lstStyle/>
                  <a:p>
                    <a:r>
                      <a:rPr lang="en-US" altLang="zh-CN"/>
                      <a:t>20.61%</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3"/>
              <c:delete val="1"/>
            </c:dLbl>
            <c:dLbl>
              <c:idx val="4"/>
              <c:layout>
                <c:manualLayout>
                  <c:x val="-5.2620723736605701E-2"/>
                  <c:y val="-2.7770475107046399E-2"/>
                </c:manualLayout>
              </c:layout>
              <c:tx>
                <c:rich>
                  <a:bodyPr/>
                  <a:lstStyle/>
                  <a:p>
                    <a:r>
                      <a:rPr lang="en-US" altLang="zh-CN"/>
                      <a:t>0.21%</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5"/>
              <c:layout>
                <c:manualLayout>
                  <c:x val="7.5968592980501598E-2"/>
                  <c:y val="0.146738856090811"/>
                </c:manualLayout>
              </c:layout>
              <c:tx>
                <c:rich>
                  <a:bodyPr/>
                  <a:lstStyle/>
                  <a:p>
                    <a:r>
                      <a:rPr lang="en-US" altLang="zh-CN"/>
                      <a:t>1.81%</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endParaRPr lang="zh-CN"/>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48653.24</c:v>
                </c:pt>
                <c:pt idx="1">
                  <c:v>0</c:v>
                </c:pt>
                <c:pt idx="2">
                  <c:v>12960.33</c:v>
                </c:pt>
                <c:pt idx="3">
                  <c:v>134.04</c:v>
                </c:pt>
                <c:pt idx="4">
                  <c:v>0</c:v>
                </c:pt>
                <c:pt idx="5">
                  <c:v>1134.82</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egendEntry>
        <c:idx val="0"/>
        <c:txPr>
          <a:bodyPr rot="0" spcFirstLastPara="0" vertOverflow="ellipsis" vert="horz" wrap="square" anchor="ctr" anchorCtr="1"/>
          <a:lstStyle/>
          <a:p>
            <a:pPr>
              <a:defRPr lang="zh-CN" sz="900" b="0" i="0" u="none" strike="noStrike" kern="1200" baseline="0">
                <a:solidFill>
                  <a:schemeClr val="bg1">
                    <a:lumMod val="50000"/>
                  </a:schemeClr>
                </a:solidFill>
                <a:latin typeface="+mn-lt"/>
                <a:ea typeface="+mn-ea"/>
                <a:cs typeface="+mn-cs"/>
              </a:defRPr>
            </a:pPr>
            <a:endParaRPr lang="zh-CN"/>
          </a:p>
        </c:txPr>
      </c:legendEntry>
      <c:legendEntry>
        <c:idx val="1"/>
        <c:delete val="1"/>
      </c:legendEntry>
      <c:legendEntry>
        <c:idx val="2"/>
        <c:txPr>
          <a:bodyPr rot="0" spcFirstLastPara="0" vertOverflow="ellipsis" vert="horz" wrap="square" anchor="ctr" anchorCtr="1"/>
          <a:lstStyle/>
          <a:p>
            <a:pPr>
              <a:defRPr lang="zh-CN" sz="900" b="0" i="0" u="none" strike="noStrike" kern="1200" baseline="0">
                <a:solidFill>
                  <a:schemeClr val="bg1">
                    <a:lumMod val="50000"/>
                  </a:schemeClr>
                </a:solidFill>
                <a:latin typeface="+mn-lt"/>
                <a:ea typeface="+mn-ea"/>
                <a:cs typeface="+mn-cs"/>
              </a:defRPr>
            </a:pPr>
            <a:endParaRPr lang="zh-CN"/>
          </a:p>
        </c:txPr>
      </c:legendEntry>
      <c:legendEntry>
        <c:idx val="3"/>
        <c:txPr>
          <a:bodyPr rot="0" spcFirstLastPara="0" vertOverflow="ellipsis" vert="horz" wrap="square" anchor="ctr" anchorCtr="1"/>
          <a:lstStyle/>
          <a:p>
            <a:pPr>
              <a:defRPr lang="zh-CN" sz="900" b="0" i="0" u="none" strike="noStrike" kern="1200" baseline="0">
                <a:solidFill>
                  <a:schemeClr val="bg1">
                    <a:lumMod val="50000"/>
                  </a:schemeClr>
                </a:solidFill>
                <a:latin typeface="+mn-lt"/>
                <a:ea typeface="+mn-ea"/>
                <a:cs typeface="+mn-cs"/>
              </a:defRPr>
            </a:pPr>
            <a:endParaRPr lang="zh-CN"/>
          </a:p>
        </c:txPr>
      </c:legendEntry>
      <c:legendEntry>
        <c:idx val="4"/>
        <c:delete val="1"/>
      </c:legendEntry>
      <c:legendEntry>
        <c:idx val="5"/>
        <c:txPr>
          <a:bodyPr rot="0" spcFirstLastPara="0" vertOverflow="ellipsis" vert="horz" wrap="square" anchor="ctr" anchorCtr="1"/>
          <a:lstStyle/>
          <a:p>
            <a:pPr>
              <a:defRPr lang="zh-CN" sz="900" b="0" i="0" u="none" strike="noStrike" kern="1200" baseline="0">
                <a:solidFill>
                  <a:schemeClr val="bg1">
                    <a:lumMod val="50000"/>
                  </a:schemeClr>
                </a:solidFill>
                <a:latin typeface="+mn-lt"/>
                <a:ea typeface="+mn-ea"/>
                <a:cs typeface="+mn-cs"/>
              </a:defRPr>
            </a:pPr>
            <a:endParaRPr lang="zh-CN"/>
          </a:p>
        </c:txPr>
      </c:legendEntry>
      <c:overlay val="0"/>
      <c:spPr>
        <a:noFill/>
        <a:ln>
          <a:noFill/>
        </a:ln>
        <a:effectLst/>
      </c:spPr>
      <c:txPr>
        <a:bodyPr rot="0" spcFirstLastPara="0" vertOverflow="ellipsis" vert="horz" wrap="square" anchor="ctr" anchorCtr="1"/>
        <a:lstStyle/>
        <a:p>
          <a:pPr>
            <a:defRPr lang="zh-CN" sz="900" b="0" i="0" u="none" strike="noStrike" kern="1200" baseline="0">
              <a:solidFill>
                <a:schemeClr val="bg1">
                  <a:lumMod val="50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bg1">
                    <a:lumMod val="50000"/>
                  </a:schemeClr>
                </a:solidFill>
                <a:latin typeface="+mn-lt"/>
                <a:ea typeface="+mn-ea"/>
                <a:cs typeface="+mn-cs"/>
              </a:defRPr>
            </a:pPr>
            <a:r>
              <a:rPr lang="zh-CN" altLang="en-US">
                <a:solidFill>
                  <a:schemeClr val="bg1">
                    <a:lumMod val="50000"/>
                  </a:schemeClr>
                </a:solidFill>
              </a:rPr>
              <a:t>支出决算</a:t>
            </a:r>
          </a:p>
        </c:rich>
      </c:tx>
      <c:overlay val="0"/>
      <c:spPr>
        <a:noFill/>
        <a:ln>
          <a:noFill/>
        </a:ln>
        <a:effectLst/>
      </c:spPr>
    </c:title>
    <c:autoTitleDeleted val="0"/>
    <c:plotArea>
      <c:layout/>
      <c:pieChart>
        <c:varyColors val="1"/>
        <c:ser>
          <c:idx val="0"/>
          <c:order val="0"/>
          <c:tx>
            <c:strRef>
              <c:f>Sheet0!$B$1</c:f>
              <c:strCache>
                <c:ptCount val="1"/>
                <c:pt idx="0">
                  <c:v>支出</c:v>
                </c:pt>
              </c:strCache>
            </c:strRef>
          </c:tx>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0"/>
              <c:layout>
                <c:manualLayout>
                  <c:x val="-0.101365266841645"/>
                  <c:y val="-0.12950714494021601"/>
                </c:manualLayout>
              </c:layout>
              <c:tx>
                <c:rich>
                  <a:bodyPr/>
                  <a:lstStyle/>
                  <a:p>
                    <a:r>
                      <a:rPr lang="en-US" altLang="zh-CN" b="1" i="0" baseline="0"/>
                      <a:t>85.83%</a:t>
                    </a:r>
                    <a:endParaRPr lang="en-US" altLang="zh-CN"/>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manualLayout>
                  <c:x val="-1.1083552055993E-2"/>
                  <c:y val="1.3928988043161301E-2"/>
                </c:manualLayout>
              </c:layout>
              <c:tx>
                <c:rich>
                  <a:bodyPr/>
                  <a:lstStyle/>
                  <a:p>
                    <a:r>
                      <a:rPr lang="en-US" altLang="zh-CN" b="1" i="0" baseline="0"/>
                      <a:t>13.96%</a:t>
                    </a:r>
                    <a:endParaRPr lang="en-US" altLang="zh-CN"/>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2"/>
              <c:delete val="1"/>
            </c:dLbl>
            <c:dLbl>
              <c:idx val="3"/>
              <c:delete val="1"/>
            </c:dLbl>
            <c:dLbl>
              <c:idx val="4"/>
              <c:layout>
                <c:manualLayout>
                  <c:x val="7.5099737532808505E-2"/>
                  <c:y val="-2.6525955088947201E-2"/>
                </c:manualLayout>
              </c:layout>
              <c:tx>
                <c:rich>
                  <a:bodyPr/>
                  <a:lstStyle/>
                  <a:p>
                    <a:r>
                      <a:rPr lang="en-US" altLang="zh-CN" b="1" i="0" baseline="0"/>
                      <a:t>0.21%</a:t>
                    </a:r>
                    <a:endParaRPr lang="en-US" altLang="zh-CN"/>
                  </a:p>
                </c:rich>
              </c:tx>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404040">
                        <a:lumMod val="75000"/>
                        <a:lumOff val="25000"/>
                      </a:srgbClr>
                    </a:solidFill>
                    <a:latin typeface="+mn-lt"/>
                    <a:ea typeface="+mn-ea"/>
                    <a:cs typeface="+mn-cs"/>
                  </a:defRPr>
                </a:pPr>
                <a:endParaRPr lang="zh-CN"/>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55053.62</c:v>
                </c:pt>
                <c:pt idx="1">
                  <c:v>8956.5400000000009</c:v>
                </c:pt>
                <c:pt idx="2">
                  <c:v>0</c:v>
                </c:pt>
                <c:pt idx="3">
                  <c:v>134.04</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2"/>
        <c:delete val="1"/>
      </c:legendEntry>
      <c:legendEntry>
        <c:idx val="4"/>
        <c:delete val="1"/>
      </c:legendEntry>
      <c:overlay val="0"/>
      <c:spPr>
        <a:noFill/>
        <a:ln>
          <a:noFill/>
        </a:ln>
        <a:effectLst/>
      </c:spPr>
      <c:txPr>
        <a:bodyPr rot="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endParaRPr lang="zh-CN"/>
        </a:p>
      </c:txPr>
    </c:legend>
    <c:plotVisOnly val="1"/>
    <c:dispBlanksAs val="gap"/>
    <c:showDLblsOverMax val="0"/>
  </c:chart>
  <c:spPr>
    <a:solidFill>
      <a:srgbClr val="FFFFFF"/>
    </a:solidFill>
    <a:ln w="9525" cap="flat" cmpd="sng" algn="ctr">
      <a:solidFill>
        <a:srgbClr val="D9D9D9">
          <a:lumMod val="15000"/>
          <a:lumOff val="85000"/>
        </a:srgbClr>
      </a:solidFill>
      <a:prstDash val="solid"/>
      <a:round/>
    </a:ln>
    <a:effectLst/>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22E1B-3335-4B97-B882-6144C79AF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640</Words>
  <Characters>3650</Characters>
  <Application>Microsoft Office Word</Application>
  <DocSecurity>0</DocSecurity>
  <Lines>30</Lines>
  <Paragraphs>8</Paragraphs>
  <ScaleCrop>false</ScaleCrop>
  <Company>Microsoft</Company>
  <LinksUpToDate>false</LinksUpToDate>
  <CharactersWithSpaces>4282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北京市财政局关于做好向市人大常委会报送2015年度市级部门决算（草案）</dc:title>
  <dc:creator>常程</dc:creator>
  <cp:lastModifiedBy>lenovo</cp:lastModifiedBy>
  <cp:revision>2</cp:revision>
  <cp:lastPrinted>2020-08-07T11:39:00Z</cp:lastPrinted>
  <dcterms:created xsi:type="dcterms:W3CDTF">2024-08-21T07:36:00Z</dcterms:created>
  <dcterms:modified xsi:type="dcterms:W3CDTF">2024-08-21T07:36:00Z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8C3E8E27959F4EADBB77746CE63B0AD4_13</vt:lpwstr>
  </property>
</Properties>
</file>