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6048" w:type="pc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6"/>
        <w:gridCol w:w="663"/>
        <w:gridCol w:w="329"/>
        <w:gridCol w:w="386"/>
        <w:gridCol w:w="1242"/>
        <w:gridCol w:w="1815"/>
        <w:gridCol w:w="1585"/>
        <w:gridCol w:w="2315"/>
        <w:gridCol w:w="2300"/>
        <w:gridCol w:w="957"/>
        <w:gridCol w:w="1000"/>
        <w:gridCol w:w="986"/>
        <w:gridCol w:w="913"/>
        <w:gridCol w:w="201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852" w:type="pct"/>
          <w:trHeight w:val="600" w:hRule="atLeast"/>
        </w:trPr>
        <w:tc>
          <w:tcPr>
            <w:tcW w:w="4147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color w:val="000000"/>
                <w:sz w:val="36"/>
                <w:szCs w:val="36"/>
              </w:rPr>
            </w:pPr>
            <w:bookmarkStart w:id="0" w:name="_GoBack"/>
            <w:bookmarkEnd w:id="0"/>
            <w:r>
              <w:rPr>
                <w:rFonts w:hint="eastAsia" w:ascii="方正小标宋简体" w:hAnsi="方正小标宋简体" w:eastAsia="方正小标宋简体" w:cs="方正小标宋简体"/>
                <w:sz w:val="36"/>
                <w:szCs w:val="36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852" w:type="pct"/>
          <w:trHeight w:val="499" w:hRule="atLeast"/>
        </w:trPr>
        <w:tc>
          <w:tcPr>
            <w:tcW w:w="4147" w:type="pct"/>
            <w:gridSpan w:val="12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仿宋" w:hAnsi="仿宋" w:eastAsia="仿宋" w:cs="仿宋"/>
                <w:color w:val="000000"/>
                <w:kern w:val="0"/>
                <w:sz w:val="36"/>
                <w:szCs w:val="36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（2023年度）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852" w:type="pct"/>
          <w:trHeight w:val="567" w:hRule="exact"/>
        </w:trPr>
        <w:tc>
          <w:tcPr>
            <w:tcW w:w="477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项目名称</w:t>
            </w:r>
          </w:p>
        </w:tc>
        <w:tc>
          <w:tcPr>
            <w:tcW w:w="3670" w:type="pct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北京信息科技大学新校区建设经费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852" w:type="pct"/>
          <w:trHeight w:val="567" w:hRule="exact"/>
        </w:trPr>
        <w:tc>
          <w:tcPr>
            <w:tcW w:w="477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主管部门</w:t>
            </w:r>
          </w:p>
        </w:tc>
        <w:tc>
          <w:tcPr>
            <w:tcW w:w="1466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北京市教育委员会</w:t>
            </w:r>
          </w:p>
        </w:tc>
        <w:tc>
          <w:tcPr>
            <w:tcW w:w="134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实施单位</w:t>
            </w:r>
          </w:p>
        </w:tc>
        <w:tc>
          <w:tcPr>
            <w:tcW w:w="858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北京信息科技大学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852" w:type="pct"/>
          <w:trHeight w:val="567" w:hRule="exact"/>
        </w:trPr>
        <w:tc>
          <w:tcPr>
            <w:tcW w:w="477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项目负责人</w:t>
            </w:r>
          </w:p>
        </w:tc>
        <w:tc>
          <w:tcPr>
            <w:tcW w:w="1466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崔凯</w:t>
            </w:r>
          </w:p>
        </w:tc>
        <w:tc>
          <w:tcPr>
            <w:tcW w:w="134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联系电话</w:t>
            </w:r>
          </w:p>
        </w:tc>
        <w:tc>
          <w:tcPr>
            <w:tcW w:w="858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80707336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852" w:type="pct"/>
          <w:trHeight w:val="850" w:hRule="exact"/>
        </w:trPr>
        <w:tc>
          <w:tcPr>
            <w:tcW w:w="477" w:type="pct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项目资金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（万元）</w:t>
            </w:r>
          </w:p>
        </w:tc>
        <w:tc>
          <w:tcPr>
            <w:tcW w:w="47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5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年初预算数</w:t>
            </w:r>
          </w:p>
        </w:tc>
        <w:tc>
          <w:tcPr>
            <w:tcW w:w="4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全年预算数</w:t>
            </w:r>
          </w:p>
        </w:tc>
        <w:tc>
          <w:tcPr>
            <w:tcW w:w="134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全年执行数</w:t>
            </w:r>
          </w:p>
        </w:tc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0"/>
                <w:szCs w:val="20"/>
                <w:lang w:bidi="ar"/>
              </w:rPr>
              <w:t>分值</w:t>
            </w:r>
          </w:p>
        </w:tc>
        <w:tc>
          <w:tcPr>
            <w:tcW w:w="2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0"/>
                <w:szCs w:val="20"/>
                <w:lang w:bidi="ar"/>
              </w:rPr>
              <w:t>预算执行率</w:t>
            </w:r>
          </w:p>
        </w:tc>
        <w:tc>
          <w:tcPr>
            <w:tcW w:w="2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852" w:type="pct"/>
          <w:trHeight w:val="567" w:hRule="exact"/>
        </w:trPr>
        <w:tc>
          <w:tcPr>
            <w:tcW w:w="477" w:type="pct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47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年度资金总额：</w:t>
            </w:r>
          </w:p>
        </w:tc>
        <w:tc>
          <w:tcPr>
            <w:tcW w:w="5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  <w:t>50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000.000000</w:t>
            </w:r>
          </w:p>
        </w:tc>
        <w:tc>
          <w:tcPr>
            <w:tcW w:w="4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  <w:t>50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000.000000</w:t>
            </w:r>
          </w:p>
        </w:tc>
        <w:tc>
          <w:tcPr>
            <w:tcW w:w="134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40616.280182</w:t>
            </w:r>
          </w:p>
        </w:tc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2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8</w:t>
            </w:r>
            <w:r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.</w:t>
            </w:r>
            <w:r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3%</w:t>
            </w:r>
          </w:p>
        </w:tc>
        <w:tc>
          <w:tcPr>
            <w:tcW w:w="2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8.</w:t>
            </w:r>
            <w:r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  <w:t>12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852" w:type="pct"/>
          <w:trHeight w:val="850" w:hRule="atLeast"/>
        </w:trPr>
        <w:tc>
          <w:tcPr>
            <w:tcW w:w="477" w:type="pct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47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其中：当年财政拨款</w:t>
            </w:r>
          </w:p>
        </w:tc>
        <w:tc>
          <w:tcPr>
            <w:tcW w:w="5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  <w:t>500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00.000000</w:t>
            </w:r>
          </w:p>
        </w:tc>
        <w:tc>
          <w:tcPr>
            <w:tcW w:w="4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  <w:t>50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000.000000</w:t>
            </w:r>
          </w:p>
        </w:tc>
        <w:tc>
          <w:tcPr>
            <w:tcW w:w="134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40616.280182</w:t>
            </w:r>
          </w:p>
        </w:tc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-</w:t>
            </w:r>
          </w:p>
        </w:tc>
        <w:tc>
          <w:tcPr>
            <w:tcW w:w="2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2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852" w:type="pct"/>
          <w:trHeight w:val="340" w:hRule="exact"/>
        </w:trPr>
        <w:tc>
          <w:tcPr>
            <w:tcW w:w="477" w:type="pct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47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上年结转资金</w:t>
            </w:r>
          </w:p>
        </w:tc>
        <w:tc>
          <w:tcPr>
            <w:tcW w:w="5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4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134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-</w:t>
            </w:r>
          </w:p>
        </w:tc>
        <w:tc>
          <w:tcPr>
            <w:tcW w:w="2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2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852" w:type="pct"/>
          <w:trHeight w:val="340" w:hRule="exact"/>
        </w:trPr>
        <w:tc>
          <w:tcPr>
            <w:tcW w:w="477" w:type="pct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47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其他资金</w:t>
            </w:r>
          </w:p>
        </w:tc>
        <w:tc>
          <w:tcPr>
            <w:tcW w:w="5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4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134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-</w:t>
            </w:r>
          </w:p>
        </w:tc>
        <w:tc>
          <w:tcPr>
            <w:tcW w:w="2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2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852" w:type="pct"/>
          <w:trHeight w:val="567" w:hRule="exact"/>
        </w:trPr>
        <w:tc>
          <w:tcPr>
            <w:tcW w:w="18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年度总体目标</w:t>
            </w:r>
          </w:p>
        </w:tc>
        <w:tc>
          <w:tcPr>
            <w:tcW w:w="1755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预期目标</w:t>
            </w:r>
          </w:p>
        </w:tc>
        <w:tc>
          <w:tcPr>
            <w:tcW w:w="2203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852" w:type="pct"/>
          <w:trHeight w:val="1526" w:hRule="atLeast"/>
        </w:trPr>
        <w:tc>
          <w:tcPr>
            <w:tcW w:w="18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1755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建设北京信息科技大学新校区，改善北京信息科技大学的办学条件，解决学校发展瓶颈问题，为学校师生员工提供一个良好的学习、办公环境；加快首都高等教育资源布局调整和中心城区功能疏解。</w:t>
            </w:r>
          </w:p>
        </w:tc>
        <w:tc>
          <w:tcPr>
            <w:tcW w:w="2203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新校区完成了第三教学组团、大学生活动中心、风雨操场的移交工作，为学校85周年校庆和学生军训顺利召开奠定了基础；启用区校园围墙的全部封闭，东区运动场基本可以满足学生运动的需求，完成了启用区域的楼控系统工程的线缆敷设、设备安装及食堂与换热站的调试工作，为新生入住后的安全、学习、生活等方面提供了保障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852" w:type="pct"/>
          <w:trHeight w:val="850" w:hRule="atLeast"/>
        </w:trPr>
        <w:tc>
          <w:tcPr>
            <w:tcW w:w="18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绩效指标</w:t>
            </w:r>
          </w:p>
        </w:tc>
        <w:tc>
          <w:tcPr>
            <w:tcW w:w="1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一级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指标</w:t>
            </w:r>
          </w:p>
        </w:tc>
        <w:tc>
          <w:tcPr>
            <w:tcW w:w="20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二级指标</w:t>
            </w:r>
          </w:p>
        </w:tc>
        <w:tc>
          <w:tcPr>
            <w:tcW w:w="1353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三级指标</w:t>
            </w:r>
          </w:p>
        </w:tc>
        <w:tc>
          <w:tcPr>
            <w:tcW w:w="6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指标值</w:t>
            </w:r>
          </w:p>
        </w:tc>
        <w:tc>
          <w:tcPr>
            <w:tcW w:w="6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完成值</w:t>
            </w:r>
          </w:p>
        </w:tc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分值</w:t>
            </w:r>
          </w:p>
        </w:tc>
        <w:tc>
          <w:tcPr>
            <w:tcW w:w="2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得分</w:t>
            </w:r>
          </w:p>
        </w:tc>
        <w:tc>
          <w:tcPr>
            <w:tcW w:w="2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偏差原因分析改进措施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852" w:type="pct"/>
          <w:trHeight w:val="1679" w:hRule="atLeast"/>
        </w:trPr>
        <w:tc>
          <w:tcPr>
            <w:tcW w:w="18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1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产出指标</w:t>
            </w:r>
          </w:p>
        </w:tc>
        <w:tc>
          <w:tcPr>
            <w:tcW w:w="20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质量指标</w:t>
            </w:r>
          </w:p>
        </w:tc>
        <w:tc>
          <w:tcPr>
            <w:tcW w:w="1353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项目工程质量合格</w:t>
            </w:r>
          </w:p>
        </w:tc>
        <w:tc>
          <w:tcPr>
            <w:tcW w:w="675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新校区所有工程符合设计要求，满足国家相关标准</w:t>
            </w:r>
          </w:p>
        </w:tc>
        <w:tc>
          <w:tcPr>
            <w:tcW w:w="6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新校区所有工程符合设计要求，满足国家相关标准，工程质量合格。</w:t>
            </w:r>
          </w:p>
        </w:tc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  <w:t>40</w:t>
            </w:r>
          </w:p>
        </w:tc>
        <w:tc>
          <w:tcPr>
            <w:tcW w:w="2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32</w:t>
            </w:r>
          </w:p>
        </w:tc>
        <w:tc>
          <w:tcPr>
            <w:tcW w:w="2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年度指标不够科学、合理，后续将完善指标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852" w:type="pct"/>
          <w:trHeight w:val="1134" w:hRule="atLeast"/>
        </w:trPr>
        <w:tc>
          <w:tcPr>
            <w:tcW w:w="18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1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成本指标</w:t>
            </w:r>
          </w:p>
        </w:tc>
        <w:tc>
          <w:tcPr>
            <w:tcW w:w="208" w:type="pct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经济成本指标</w:t>
            </w:r>
          </w:p>
        </w:tc>
        <w:tc>
          <w:tcPr>
            <w:tcW w:w="1353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成本控制</w:t>
            </w:r>
          </w:p>
        </w:tc>
        <w:tc>
          <w:tcPr>
            <w:tcW w:w="675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50000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万元</w:t>
            </w:r>
          </w:p>
        </w:tc>
        <w:tc>
          <w:tcPr>
            <w:tcW w:w="6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40616.280182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万元</w:t>
            </w:r>
          </w:p>
        </w:tc>
        <w:tc>
          <w:tcPr>
            <w:tcW w:w="279" w:type="pc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291" w:type="pc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287" w:type="pct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852" w:type="pct"/>
          <w:trHeight w:val="844" w:hRule="atLeast"/>
        </w:trPr>
        <w:tc>
          <w:tcPr>
            <w:tcW w:w="18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1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效益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指标</w:t>
            </w:r>
          </w:p>
        </w:tc>
        <w:tc>
          <w:tcPr>
            <w:tcW w:w="20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指标</w:t>
            </w:r>
          </w:p>
        </w:tc>
        <w:tc>
          <w:tcPr>
            <w:tcW w:w="1353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任务落实</w:t>
            </w:r>
          </w:p>
        </w:tc>
        <w:tc>
          <w:tcPr>
            <w:tcW w:w="675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改善北京信息科技大学办学条件，解决学校发展瓶颈问题，为学校师生员工提供一个良好的学习、办公环境；加快首都高等教育资源布局调整和中心城区功能疏解</w:t>
            </w:r>
          </w:p>
        </w:tc>
        <w:tc>
          <w:tcPr>
            <w:tcW w:w="670" w:type="pc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完成疏解任务，新校区一期所有建筑主体结构完成；后勤保障中心、第一食堂、风雨操场及学生发展中心空调系统、消防阀门及室外消防井等室外消防设施、学五公寓6-9层等项目完成移交；已建设完工约33.79万平米，启用区域达到约500亩。</w:t>
            </w:r>
          </w:p>
        </w:tc>
        <w:tc>
          <w:tcPr>
            <w:tcW w:w="279" w:type="pc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  <w:t>30</w:t>
            </w:r>
          </w:p>
        </w:tc>
        <w:tc>
          <w:tcPr>
            <w:tcW w:w="291" w:type="pc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24</w:t>
            </w:r>
          </w:p>
        </w:tc>
        <w:tc>
          <w:tcPr>
            <w:tcW w:w="287" w:type="pc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指标关联性不高，后续将完善指标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3289" w:type="pct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2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84.12</w:t>
            </w:r>
          </w:p>
        </w:tc>
        <w:tc>
          <w:tcPr>
            <w:tcW w:w="287" w:type="pct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266" w:type="pct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度90%</w:t>
            </w:r>
          </w:p>
        </w:tc>
      </w:tr>
    </w:tbl>
    <w:p>
      <w:pPr>
        <w:widowControl/>
        <w:spacing w:line="240" w:lineRule="exact"/>
        <w:jc w:val="center"/>
        <w:rPr>
          <w:rFonts w:ascii="仿宋_GB2312" w:hAnsi="宋体" w:eastAsia="仿宋_GB2312" w:cs="宋体"/>
          <w:color w:val="000000"/>
          <w:kern w:val="0"/>
          <w:szCs w:val="21"/>
        </w:rPr>
      </w:pPr>
    </w:p>
    <w:sectPr>
      <w:footerReference r:id="rId3" w:type="default"/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  <w:p>
    <w:pPr>
      <w:pStyle w:val="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2E4NjM4ZjM5N2FjNzViM2M3MGY3YTgxMjAyYjUzYjgifQ=="/>
  </w:docVars>
  <w:rsids>
    <w:rsidRoot w:val="00911CD9"/>
    <w:rsid w:val="00104574"/>
    <w:rsid w:val="001256DD"/>
    <w:rsid w:val="0014562A"/>
    <w:rsid w:val="001C4DB0"/>
    <w:rsid w:val="00274B35"/>
    <w:rsid w:val="002A380B"/>
    <w:rsid w:val="00380FF4"/>
    <w:rsid w:val="003E5361"/>
    <w:rsid w:val="00412333"/>
    <w:rsid w:val="005673E3"/>
    <w:rsid w:val="00676947"/>
    <w:rsid w:val="008E058F"/>
    <w:rsid w:val="00911CD9"/>
    <w:rsid w:val="00930170"/>
    <w:rsid w:val="00AF173A"/>
    <w:rsid w:val="00C004DE"/>
    <w:rsid w:val="00C05F3E"/>
    <w:rsid w:val="00C40516"/>
    <w:rsid w:val="00C8378E"/>
    <w:rsid w:val="00CC3A18"/>
    <w:rsid w:val="00F46889"/>
    <w:rsid w:val="00F63046"/>
    <w:rsid w:val="00FB7760"/>
    <w:rsid w:val="01E82335"/>
    <w:rsid w:val="0D226F3B"/>
    <w:rsid w:val="12922831"/>
    <w:rsid w:val="153123F3"/>
    <w:rsid w:val="18985DE5"/>
    <w:rsid w:val="1D98430E"/>
    <w:rsid w:val="28DE0169"/>
    <w:rsid w:val="310E5870"/>
    <w:rsid w:val="36A50B5D"/>
    <w:rsid w:val="37576A57"/>
    <w:rsid w:val="3BAD083F"/>
    <w:rsid w:val="46B9097A"/>
    <w:rsid w:val="492F5106"/>
    <w:rsid w:val="4A2F0EAF"/>
    <w:rsid w:val="4DCE345F"/>
    <w:rsid w:val="4E9A29E9"/>
    <w:rsid w:val="55CB4A16"/>
    <w:rsid w:val="56BA5402"/>
    <w:rsid w:val="643A5C8B"/>
    <w:rsid w:val="6EC26580"/>
    <w:rsid w:val="72C21E2F"/>
    <w:rsid w:val="764B5203"/>
    <w:rsid w:val="76CD4975"/>
    <w:rsid w:val="79B97D26"/>
    <w:rsid w:val="7C450824"/>
    <w:rsid w:val="7F0F0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autoRedefine/>
    <w:qFormat/>
    <w:uiPriority w:val="0"/>
    <w:pPr>
      <w:spacing w:after="120" w:line="480" w:lineRule="auto"/>
      <w:ind w:left="420" w:leftChars="200"/>
    </w:pPr>
  </w:style>
  <w:style w:type="paragraph" w:styleId="3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7">
    <w:name w:val="font41"/>
    <w:basedOn w:val="6"/>
    <w:autoRedefine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760</Words>
  <Characters>883</Characters>
  <Lines>7</Lines>
  <Paragraphs>2</Paragraphs>
  <TotalTime>5</TotalTime>
  <ScaleCrop>false</ScaleCrop>
  <LinksUpToDate>false</LinksUpToDate>
  <CharactersWithSpaces>883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2024-04-22T05:54:00Z</dcterms:created>
  <dc:creator>27783</dc:creator>
  <cp:lastModifiedBy>沂滓逞撞僮</cp:lastModifiedBy>
  <cp:lastPrinted>2023-05-10T12:44:00Z</cp:lastPrinted>
  <dcterms:modified xsi:type="dcterms:W3CDTF">2024-06-20T06:56:26Z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DF48FA2FAAF54C1C805D3C0D950E4C0D_13</vt:lpwstr>
  </property>
</Properties>
</file>