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2023 年度）</w:t>
      </w:r>
    </w:p>
    <w:tbl>
      <w:tblPr>
        <w:tblStyle w:val="4"/>
        <w:tblW w:w="14039" w:type="dxa"/>
        <w:jc w:val="center"/>
        <w:tblLayout w:type="fixed"/>
        <w:tblCellMar>
          <w:top w:w="0" w:type="dxa"/>
          <w:left w:w="108" w:type="dxa"/>
          <w:bottom w:w="0" w:type="dxa"/>
          <w:right w:w="108" w:type="dxa"/>
        </w:tblCellMar>
      </w:tblPr>
      <w:tblGrid>
        <w:gridCol w:w="595"/>
        <w:gridCol w:w="1760"/>
        <w:gridCol w:w="1331"/>
        <w:gridCol w:w="1435"/>
        <w:gridCol w:w="1700"/>
        <w:gridCol w:w="1013"/>
        <w:gridCol w:w="870"/>
        <w:gridCol w:w="1109"/>
        <w:gridCol w:w="420"/>
        <w:gridCol w:w="429"/>
        <w:gridCol w:w="633"/>
        <w:gridCol w:w="251"/>
        <w:gridCol w:w="1025"/>
        <w:gridCol w:w="1468"/>
      </w:tblGrid>
      <w:tr>
        <w:tblPrEx>
          <w:tblCellMar>
            <w:top w:w="0" w:type="dxa"/>
            <w:left w:w="108" w:type="dxa"/>
            <w:bottom w:w="0" w:type="dxa"/>
            <w:right w:w="108" w:type="dxa"/>
          </w:tblCellMar>
        </w:tblPrEx>
        <w:trPr>
          <w:trHeight w:val="567" w:hRule="atLeast"/>
          <w:jc w:val="center"/>
        </w:trPr>
        <w:tc>
          <w:tcPr>
            <w:tcW w:w="235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11684" w:type="dxa"/>
            <w:gridSpan w:val="1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改善办学保障条件—北京信息科技大学新校区工程训练中心智能制造与数字孪生基地建设（新竣工楼配套）</w:t>
            </w:r>
          </w:p>
        </w:tc>
      </w:tr>
      <w:tr>
        <w:tblPrEx>
          <w:tblCellMar>
            <w:top w:w="0" w:type="dxa"/>
            <w:left w:w="108" w:type="dxa"/>
            <w:bottom w:w="0" w:type="dxa"/>
            <w:right w:w="108" w:type="dxa"/>
          </w:tblCellMar>
        </w:tblPrEx>
        <w:trPr>
          <w:trHeight w:val="567" w:hRule="atLeast"/>
          <w:jc w:val="center"/>
        </w:trPr>
        <w:tc>
          <w:tcPr>
            <w:tcW w:w="235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634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806" w:type="dxa"/>
            <w:gridSpan w:val="5"/>
            <w:tcBorders>
              <w:top w:val="single" w:color="auto" w:sz="4" w:space="0"/>
              <w:left w:val="single" w:color="auto" w:sz="4" w:space="0"/>
              <w:bottom w:val="single" w:color="auto" w:sz="4" w:space="0"/>
              <w:right w:val="single" w:color="auto" w:sz="4" w:space="0"/>
            </w:tcBorders>
            <w:vAlign w:val="center"/>
          </w:tcPr>
          <w:p>
            <w:pPr>
              <w:widowControl/>
              <w:tabs>
                <w:tab w:val="left" w:pos="120"/>
              </w:tabs>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7" w:hRule="atLeast"/>
          <w:jc w:val="center"/>
        </w:trPr>
        <w:tc>
          <w:tcPr>
            <w:tcW w:w="235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634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彭</w:t>
            </w:r>
            <w:r>
              <w:rPr>
                <w:rFonts w:ascii="仿宋_GB2312" w:hAnsi="宋体" w:eastAsia="仿宋_GB2312" w:cs="宋体"/>
                <w:kern w:val="0"/>
                <w:szCs w:val="21"/>
              </w:rPr>
              <w:t>宝营</w:t>
            </w: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380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13241762400</w:t>
            </w:r>
          </w:p>
        </w:tc>
      </w:tr>
      <w:tr>
        <w:tblPrEx>
          <w:tblCellMar>
            <w:top w:w="0" w:type="dxa"/>
            <w:left w:w="108" w:type="dxa"/>
            <w:bottom w:w="0" w:type="dxa"/>
            <w:right w:w="108" w:type="dxa"/>
          </w:tblCellMar>
        </w:tblPrEx>
        <w:trPr>
          <w:trHeight w:val="567" w:hRule="atLeast"/>
          <w:jc w:val="center"/>
        </w:trPr>
        <w:tc>
          <w:tcPr>
            <w:tcW w:w="235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7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8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46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atLeast"/>
          <w:jc w:val="center"/>
        </w:trPr>
        <w:tc>
          <w:tcPr>
            <w:tcW w:w="23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7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826.5</w:t>
            </w:r>
            <w:r>
              <w:rPr>
                <w:rFonts w:hint="eastAsia" w:ascii="仿宋_GB2312" w:hAnsi="宋体" w:eastAsia="仿宋_GB2312" w:cs="宋体"/>
                <w:kern w:val="0"/>
                <w:szCs w:val="21"/>
              </w:rPr>
              <w:t>00000</w:t>
            </w:r>
          </w:p>
        </w:tc>
        <w:tc>
          <w:tcPr>
            <w:tcW w:w="18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826.5</w:t>
            </w:r>
            <w:r>
              <w:rPr>
                <w:rFonts w:hint="eastAsia" w:ascii="仿宋_GB2312" w:hAnsi="宋体" w:eastAsia="仿宋_GB2312" w:cs="宋体"/>
                <w:kern w:val="0"/>
                <w:szCs w:val="21"/>
              </w:rPr>
              <w:t>00000</w:t>
            </w: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757.860000</w:t>
            </w:r>
          </w:p>
        </w:tc>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91.7%</w:t>
            </w:r>
          </w:p>
        </w:tc>
        <w:tc>
          <w:tcPr>
            <w:tcW w:w="146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9.17</w:t>
            </w:r>
          </w:p>
        </w:tc>
      </w:tr>
      <w:tr>
        <w:tblPrEx>
          <w:tblCellMar>
            <w:top w:w="0" w:type="dxa"/>
            <w:left w:w="108" w:type="dxa"/>
            <w:bottom w:w="0" w:type="dxa"/>
            <w:right w:w="108" w:type="dxa"/>
          </w:tblCellMar>
        </w:tblPrEx>
        <w:trPr>
          <w:trHeight w:val="567" w:hRule="atLeast"/>
          <w:jc w:val="center"/>
        </w:trPr>
        <w:tc>
          <w:tcPr>
            <w:tcW w:w="23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7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826.5</w:t>
            </w:r>
            <w:r>
              <w:rPr>
                <w:rFonts w:hint="eastAsia" w:ascii="仿宋_GB2312" w:hAnsi="宋体" w:eastAsia="仿宋_GB2312" w:cs="宋体"/>
                <w:kern w:val="0"/>
                <w:szCs w:val="21"/>
              </w:rPr>
              <w:t>00000</w:t>
            </w:r>
          </w:p>
        </w:tc>
        <w:tc>
          <w:tcPr>
            <w:tcW w:w="18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826.5</w:t>
            </w:r>
            <w:r>
              <w:rPr>
                <w:rFonts w:hint="eastAsia" w:ascii="仿宋_GB2312" w:hAnsi="宋体" w:eastAsia="仿宋_GB2312" w:cs="宋体"/>
                <w:kern w:val="0"/>
                <w:szCs w:val="21"/>
              </w:rPr>
              <w:t>00000</w:t>
            </w: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757.860000</w:t>
            </w:r>
          </w:p>
        </w:tc>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6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atLeast"/>
          <w:jc w:val="center"/>
        </w:trPr>
        <w:tc>
          <w:tcPr>
            <w:tcW w:w="23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7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6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atLeast"/>
          <w:jc w:val="center"/>
        </w:trPr>
        <w:tc>
          <w:tcPr>
            <w:tcW w:w="23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7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7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6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768" w:hRule="exact"/>
          <w:jc w:val="center"/>
        </w:trPr>
        <w:tc>
          <w:tcPr>
            <w:tcW w:w="5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810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5335"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6070" w:hRule="exac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10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315" w:firstLineChars="150"/>
              <w:jc w:val="left"/>
              <w:rPr>
                <w:rFonts w:ascii="仿宋_GB2312" w:hAnsi="宋体" w:eastAsia="仿宋_GB2312" w:cs="宋体"/>
                <w:kern w:val="0"/>
                <w:szCs w:val="21"/>
              </w:rPr>
            </w:pPr>
            <w:r>
              <w:rPr>
                <w:rFonts w:hint="eastAsia" w:ascii="仿宋_GB2312" w:hAnsi="宋体" w:eastAsia="仿宋_GB2312" w:cs="宋体"/>
                <w:kern w:val="0"/>
                <w:szCs w:val="21"/>
              </w:rPr>
              <w:t>年度目标：本项目预算经费</w:t>
            </w:r>
            <w:r>
              <w:rPr>
                <w:rFonts w:ascii="仿宋_GB2312" w:hAnsi="宋体" w:eastAsia="仿宋_GB2312" w:cs="宋体"/>
                <w:kern w:val="0"/>
                <w:szCs w:val="21"/>
              </w:rPr>
              <w:t>826.5</w:t>
            </w:r>
            <w:r>
              <w:rPr>
                <w:rFonts w:hint="eastAsia" w:ascii="仿宋_GB2312" w:hAnsi="宋体" w:eastAsia="仿宋_GB2312" w:cs="宋体"/>
                <w:kern w:val="0"/>
                <w:szCs w:val="21"/>
              </w:rPr>
              <w:t>万元，分</w:t>
            </w:r>
            <w:r>
              <w:rPr>
                <w:rFonts w:ascii="仿宋_GB2312" w:hAnsi="宋体" w:eastAsia="仿宋_GB2312" w:cs="宋体"/>
                <w:kern w:val="0"/>
                <w:szCs w:val="21"/>
              </w:rPr>
              <w:t>两包</w:t>
            </w:r>
            <w:r>
              <w:rPr>
                <w:rFonts w:hint="eastAsia" w:ascii="仿宋_GB2312" w:hAnsi="宋体" w:eastAsia="仿宋_GB2312" w:cs="宋体"/>
                <w:kern w:val="0"/>
                <w:szCs w:val="21"/>
              </w:rPr>
              <w:t>智能制造生产实训系统、数字孪生虚实验证实训室与特种加工中心分别</w:t>
            </w:r>
            <w:r>
              <w:rPr>
                <w:rFonts w:ascii="仿宋_GB2312" w:hAnsi="宋体" w:eastAsia="仿宋_GB2312" w:cs="宋体"/>
                <w:kern w:val="0"/>
                <w:szCs w:val="21"/>
              </w:rPr>
              <w:t>进行</w:t>
            </w:r>
            <w:r>
              <w:rPr>
                <w:rFonts w:hint="eastAsia" w:ascii="仿宋_GB2312" w:hAnsi="宋体" w:eastAsia="仿宋_GB2312" w:cs="宋体"/>
                <w:kern w:val="0"/>
                <w:szCs w:val="21"/>
              </w:rPr>
              <w:t>招标</w:t>
            </w:r>
            <w:r>
              <w:rPr>
                <w:rFonts w:ascii="仿宋_GB2312" w:hAnsi="宋体" w:eastAsia="仿宋_GB2312" w:cs="宋体"/>
                <w:kern w:val="0"/>
                <w:szCs w:val="21"/>
              </w:rPr>
              <w:t>，</w:t>
            </w:r>
            <w:r>
              <w:rPr>
                <w:rFonts w:hint="eastAsia" w:ascii="仿宋_GB2312" w:hAnsi="宋体" w:eastAsia="仿宋_GB2312" w:cs="宋体"/>
                <w:kern w:val="0"/>
                <w:szCs w:val="21"/>
              </w:rPr>
              <w:t>总中标成交金额：757.86 万元。</w:t>
            </w:r>
          </w:p>
          <w:p>
            <w:pPr>
              <w:widowControl/>
              <w:spacing w:line="240" w:lineRule="exact"/>
              <w:ind w:firstLine="315" w:firstLineChars="150"/>
              <w:jc w:val="left"/>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智能制造与数字孪生基地建设项目（新竣工楼配套），主要建设内容为完成新校区工程训练中心智能制造与数字孪生基地建设：主要包括基于5G+数字孪生的工业4.0智能制造生产实训系统实训室、特种加工中心等</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一）完成新校区工程训练中心智能制造与数字孪生基地建设：</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1、基于5G+数字孪生的工业4.0智能制造生产实训系统实训室：</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（1）基于新校区工程训练中心软硬件平台定制开发的数字孪生EVR教学开发实训系统1套</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（2）数控机床精细化数字孪生系统1套（30点位）</w:t>
            </w:r>
          </w:p>
          <w:p>
            <w:pPr>
              <w:widowControl/>
              <w:spacing w:line="240" w:lineRule="exact"/>
              <w:jc w:val="left"/>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、5G+工业4.0智能制造生产实训系统1套（含数字孪生软件部署）</w:t>
            </w:r>
          </w:p>
          <w:p>
            <w:pPr>
              <w:widowControl/>
              <w:spacing w:line="240" w:lineRule="exact"/>
              <w:jc w:val="left"/>
              <w:rPr>
                <w:rFonts w:ascii="仿宋_GB2312" w:hAnsi="宋体" w:eastAsia="仿宋_GB2312" w:cs="宋体"/>
                <w:kern w:val="0"/>
                <w:szCs w:val="21"/>
              </w:rPr>
            </w:pPr>
            <w:r>
              <w:rPr>
                <w:rFonts w:ascii="仿宋_GB2312" w:hAnsi="宋体" w:eastAsia="仿宋_GB2312" w:cs="宋体"/>
                <w:kern w:val="0"/>
                <w:szCs w:val="21"/>
              </w:rPr>
              <w:t>3</w:t>
            </w:r>
            <w:r>
              <w:rPr>
                <w:rFonts w:hint="eastAsia" w:ascii="仿宋_GB2312" w:hAnsi="宋体" w:eastAsia="仿宋_GB2312" w:cs="宋体"/>
                <w:kern w:val="0"/>
                <w:szCs w:val="21"/>
              </w:rPr>
              <w:t>、特种加工中心：</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（1）采购新型电火花线切割机床8台套。</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（2）采购工业级3D打印机(FDM)4台套。</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（3）采购金属3D打印机2台套。</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（4）采购工业级光敏树脂3D打印机1套。 </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（5）采购金属激光打标机2台套。</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（6）采购坩埚熔铝炉1台套。</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二）完成相关设备采购、安装、调试及培训工作，并对使用人员完成相关培训。</w:t>
            </w:r>
          </w:p>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通过现有设备的利旧和新设备的购置，建成集电火花加工、激光切割和增材制造于一体的工训中心特种加工实训基地，打造一套符合新时代、新背景全新的与企业实际使用类似的工业级实训场所。用于金工实习教学及开放实验、大学生科技创新等，与现代制造业发展趋势相接轨，培养现代制造业市场需求的人才。</w:t>
            </w:r>
          </w:p>
        </w:tc>
        <w:tc>
          <w:tcPr>
            <w:tcW w:w="5335"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420" w:leftChars="200" w:firstLine="525" w:firstLineChars="250"/>
              <w:jc w:val="left"/>
              <w:rPr>
                <w:rFonts w:ascii="仿宋_GB2312" w:hAnsi="宋体" w:eastAsia="仿宋_GB2312" w:cs="宋体"/>
                <w:kern w:val="0"/>
                <w:szCs w:val="21"/>
              </w:rPr>
            </w:pPr>
            <w:r>
              <w:rPr>
                <w:rFonts w:hint="eastAsia" w:ascii="仿宋_GB2312" w:hAnsi="宋体" w:eastAsia="仿宋_GB2312" w:cs="宋体"/>
                <w:kern w:val="0"/>
                <w:szCs w:val="21"/>
              </w:rPr>
              <w:t>基于工训中心软硬件平台定制开发数字孪生EVR教学开发实训系统、数控机床精细化数字孪生系统、购置5G+工业4.0智能制造生产实训系统（含数字孪生软件部署），培养学生将工业硬件、工业软件、工业信息、工业网络、工业仿真、工业安全等多种技术融会贯通。满足《PLC原理及应用》、《机电一体化系统设计与应用》和《智能控制》等十余门课程的实训教学要求，体现出典型的实际工业生产线现场，包括工厂生产线中的供料环节、检测环节、加工环节、装配环节、搬运环节、仓储环节等部分。通过购置激光加工、增材制造、电火花线切割等多种特种加工设备，能够让学生完成多工种特种加工实训，可以更好的开展教学任务，更贴近工业机加工现状，了解行业发展状况。</w:t>
            </w:r>
          </w:p>
        </w:tc>
      </w:tr>
      <w:tr>
        <w:tblPrEx>
          <w:tblCellMar>
            <w:top w:w="0" w:type="dxa"/>
            <w:left w:w="108" w:type="dxa"/>
            <w:bottom w:w="0" w:type="dxa"/>
            <w:right w:w="108" w:type="dxa"/>
          </w:tblCellMar>
        </w:tblPrEx>
        <w:trPr>
          <w:trHeight w:val="829" w:hRule="exact"/>
          <w:jc w:val="center"/>
        </w:trPr>
        <w:tc>
          <w:tcPr>
            <w:tcW w:w="5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1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33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指标值</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33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数字孪生EVR教学开发实训系统</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工业级光敏</w:t>
            </w:r>
            <w:bookmarkStart w:id="0" w:name="_GoBack"/>
            <w:bookmarkEnd w:id="0"/>
            <w:r>
              <w:rPr>
                <w:rFonts w:hint="eastAsia" w:ascii="仿宋_GB2312" w:hAnsi="宋体" w:eastAsia="仿宋_GB2312" w:cs="宋体"/>
                <w:color w:val="000000"/>
                <w:kern w:val="0"/>
                <w:szCs w:val="21"/>
              </w:rPr>
              <w:t>树脂3D打印机</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数控机床精细化数字孪生系统</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坩埚熔铝炉</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金属3D打印机及相关附件</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2套</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2套</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金属激光打标机</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台</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台</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新型电火花线切割机床</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r>
              <w:rPr>
                <w:rFonts w:hint="eastAsia" w:ascii="仿宋_GB2312" w:hAnsi="宋体" w:eastAsia="仿宋_GB2312" w:cs="宋体"/>
                <w:kern w:val="0"/>
                <w:szCs w:val="21"/>
              </w:rPr>
              <w:t>台</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r>
              <w:rPr>
                <w:rFonts w:hint="eastAsia" w:ascii="仿宋_GB2312" w:hAnsi="宋体" w:eastAsia="仿宋_GB2312" w:cs="宋体"/>
                <w:kern w:val="0"/>
                <w:szCs w:val="21"/>
              </w:rPr>
              <w:t>台</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工业级3D打印机(FDM)</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台</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台</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5G+工业4.0智能制造生产实训系统</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套</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台</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验收合格</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合格</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合格</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50"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投入使用时间</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2023年9月</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预计2024年10月</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资金滞后</w:t>
            </w:r>
            <w:r>
              <w:rPr>
                <w:rFonts w:hint="eastAsia" w:ascii="仿宋_GB2312" w:hAnsi="宋体" w:eastAsia="仿宋_GB2312" w:cs="宋体"/>
                <w:kern w:val="0"/>
                <w:szCs w:val="21"/>
              </w:rPr>
              <w:t>，后续加强统筹</w:t>
            </w:r>
          </w:p>
        </w:tc>
      </w:tr>
      <w:tr>
        <w:tblPrEx>
          <w:tblCellMar>
            <w:top w:w="0" w:type="dxa"/>
            <w:left w:w="108" w:type="dxa"/>
            <w:bottom w:w="0" w:type="dxa"/>
            <w:right w:w="108" w:type="dxa"/>
          </w:tblCellMar>
        </w:tblPrEx>
        <w:trPr>
          <w:trHeight w:val="567"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33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经济成本指标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r>
              <w:rPr>
                <w:rFonts w:ascii="仿宋_GB2312" w:hAnsi="宋体" w:eastAsia="仿宋_GB2312" w:cs="宋体"/>
                <w:kern w:val="0"/>
                <w:szCs w:val="21"/>
              </w:rPr>
              <w:t>826.5</w:t>
            </w:r>
            <w:r>
              <w:rPr>
                <w:rFonts w:hint="eastAsia" w:ascii="仿宋_GB2312" w:hAnsi="宋体" w:eastAsia="仿宋_GB2312" w:cs="宋体"/>
                <w:kern w:val="0"/>
                <w:szCs w:val="21"/>
              </w:rPr>
              <w:t>万元</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826.5</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757.86 </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717" w:hRule="exac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33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利用我校新建设的高水平、高质量的数字化、现代化新校区工程实训中心，提供最新的特种加工技术，让最先进的知识与理念引导到学校中，为全校师生教学和科研服务，提升学校教学科研实力，提升学校社会影响力，达到为社会培养更多高质量人才</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250日</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预计</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下学期正式投入</w:t>
            </w:r>
            <w:r>
              <w:rPr>
                <w:rFonts w:ascii="仿宋_GB2312" w:hAnsi="宋体" w:eastAsia="仿宋_GB2312" w:cs="宋体"/>
                <w:kern w:val="0"/>
                <w:szCs w:val="21"/>
              </w:rPr>
              <w:t>使用后</w:t>
            </w:r>
            <w:r>
              <w:rPr>
                <w:rFonts w:hint="eastAsia" w:ascii="仿宋_GB2312" w:hAnsi="宋体" w:eastAsia="仿宋_GB2312" w:cs="宋体"/>
                <w:kern w:val="0"/>
                <w:szCs w:val="21"/>
              </w:rPr>
              <w:t>实现</w:t>
            </w:r>
          </w:p>
        </w:tc>
      </w:tr>
      <w:tr>
        <w:tblPrEx>
          <w:tblCellMar>
            <w:top w:w="0" w:type="dxa"/>
            <w:left w:w="108" w:type="dxa"/>
            <w:bottom w:w="0" w:type="dxa"/>
            <w:right w:w="108" w:type="dxa"/>
          </w:tblCellMar>
        </w:tblPrEx>
        <w:trPr>
          <w:trHeight w:val="850"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指标2：为</w:t>
            </w:r>
            <w:r>
              <w:rPr>
                <w:rFonts w:ascii="仿宋_GB2312" w:hAnsi="宋体" w:eastAsia="仿宋_GB2312" w:cs="宋体"/>
                <w:color w:val="000000"/>
                <w:kern w:val="0"/>
                <w:szCs w:val="21"/>
              </w:rPr>
              <w:t>智能制造</w:t>
            </w:r>
          </w:p>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工程</w:t>
            </w:r>
            <w:r>
              <w:rPr>
                <w:rFonts w:hint="eastAsia" w:ascii="仿宋_GB2312" w:hAnsi="宋体" w:eastAsia="仿宋_GB2312" w:cs="宋体"/>
                <w:color w:val="000000"/>
                <w:kern w:val="0"/>
                <w:szCs w:val="21"/>
              </w:rPr>
              <w:t>专业提供</w:t>
            </w:r>
            <w:r>
              <w:rPr>
                <w:rFonts w:ascii="仿宋_GB2312" w:hAnsi="宋体" w:eastAsia="仿宋_GB2312" w:cs="宋体"/>
                <w:color w:val="000000"/>
                <w:kern w:val="0"/>
                <w:szCs w:val="21"/>
              </w:rPr>
              <w:t>专业课程实验</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r>
              <w:rPr>
                <w:rFonts w:ascii="仿宋_GB2312" w:hAnsi="宋体" w:eastAsia="仿宋_GB2312" w:cs="宋体"/>
                <w:kern w:val="0"/>
                <w:szCs w:val="21"/>
              </w:rPr>
              <w:t>0</w:t>
            </w:r>
            <w:r>
              <w:rPr>
                <w:rFonts w:hint="eastAsia" w:ascii="仿宋_GB2312" w:hAnsi="宋体" w:eastAsia="仿宋_GB2312" w:cs="宋体"/>
                <w:kern w:val="0"/>
                <w:szCs w:val="21"/>
              </w:rPr>
              <w:t>人/年</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预计达到50人/年</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下学期正式投入</w:t>
            </w:r>
            <w:r>
              <w:rPr>
                <w:rFonts w:ascii="仿宋_GB2312" w:hAnsi="宋体" w:eastAsia="仿宋_GB2312" w:cs="宋体"/>
                <w:kern w:val="0"/>
                <w:szCs w:val="21"/>
              </w:rPr>
              <w:t>使用后</w:t>
            </w:r>
            <w:r>
              <w:rPr>
                <w:rFonts w:hint="eastAsia" w:ascii="仿宋_GB2312" w:hAnsi="宋体" w:eastAsia="仿宋_GB2312" w:cs="宋体"/>
                <w:kern w:val="0"/>
                <w:szCs w:val="21"/>
              </w:rPr>
              <w:t>实现</w:t>
            </w:r>
          </w:p>
        </w:tc>
      </w:tr>
      <w:tr>
        <w:tblPrEx>
          <w:tblCellMar>
            <w:top w:w="0" w:type="dxa"/>
            <w:left w:w="108" w:type="dxa"/>
            <w:bottom w:w="0" w:type="dxa"/>
            <w:right w:w="108" w:type="dxa"/>
          </w:tblCellMar>
        </w:tblPrEx>
        <w:trPr>
          <w:trHeight w:val="850"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指标3：大学生科技创新活动</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r>
              <w:rPr>
                <w:rFonts w:ascii="仿宋_GB2312" w:hAnsi="宋体" w:eastAsia="仿宋_GB2312" w:cs="宋体"/>
                <w:kern w:val="0"/>
                <w:szCs w:val="21"/>
              </w:rPr>
              <w:t>0</w:t>
            </w:r>
            <w:r>
              <w:rPr>
                <w:rFonts w:hint="eastAsia" w:ascii="仿宋_GB2312" w:hAnsi="宋体" w:eastAsia="仿宋_GB2312" w:cs="宋体"/>
                <w:kern w:val="0"/>
                <w:szCs w:val="21"/>
              </w:rPr>
              <w:t>人/年</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预计达到50人/年</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下学期正式投入</w:t>
            </w:r>
            <w:r>
              <w:rPr>
                <w:rFonts w:ascii="仿宋_GB2312" w:hAnsi="宋体" w:eastAsia="仿宋_GB2312" w:cs="宋体"/>
                <w:kern w:val="0"/>
                <w:szCs w:val="21"/>
              </w:rPr>
              <w:t>使用后</w:t>
            </w:r>
            <w:r>
              <w:rPr>
                <w:rFonts w:hint="eastAsia" w:ascii="仿宋_GB2312" w:hAnsi="宋体" w:eastAsia="仿宋_GB2312" w:cs="宋体"/>
                <w:kern w:val="0"/>
                <w:szCs w:val="21"/>
              </w:rPr>
              <w:t>实现</w:t>
            </w:r>
          </w:p>
        </w:tc>
      </w:tr>
      <w:tr>
        <w:tblPrEx>
          <w:tblCellMar>
            <w:top w:w="0" w:type="dxa"/>
            <w:left w:w="108" w:type="dxa"/>
            <w:bottom w:w="0" w:type="dxa"/>
            <w:right w:w="108" w:type="dxa"/>
          </w:tblCellMar>
        </w:tblPrEx>
        <w:trPr>
          <w:trHeight w:val="850"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指标4：受益学生人数</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1400人</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预计达到1400人</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下学期正式投入</w:t>
            </w:r>
            <w:r>
              <w:rPr>
                <w:rFonts w:ascii="仿宋_GB2312" w:hAnsi="宋体" w:eastAsia="仿宋_GB2312" w:cs="宋体"/>
                <w:kern w:val="0"/>
                <w:szCs w:val="21"/>
              </w:rPr>
              <w:t>使用后</w:t>
            </w:r>
            <w:r>
              <w:rPr>
                <w:rFonts w:hint="eastAsia" w:ascii="仿宋_GB2312" w:hAnsi="宋体" w:eastAsia="仿宋_GB2312" w:cs="宋体"/>
                <w:kern w:val="0"/>
                <w:szCs w:val="21"/>
              </w:rPr>
              <w:t>实现</w:t>
            </w:r>
          </w:p>
        </w:tc>
      </w:tr>
      <w:tr>
        <w:tblPrEx>
          <w:tblCellMar>
            <w:top w:w="0" w:type="dxa"/>
            <w:left w:w="108" w:type="dxa"/>
            <w:bottom w:w="0" w:type="dxa"/>
            <w:right w:w="108" w:type="dxa"/>
          </w:tblCellMar>
        </w:tblPrEx>
        <w:trPr>
          <w:trHeight w:val="850" w:hRule="atLeas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3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指标1：项目建成后，可长期为全校师生提供优质服务，系统运行稳定。</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w:t>
            </w:r>
            <w:r>
              <w:rPr>
                <w:rFonts w:hint="eastAsia" w:ascii="仿宋_GB2312" w:hAnsi="宋体" w:eastAsia="仿宋_GB2312" w:cs="宋体"/>
                <w:kern w:val="0"/>
                <w:szCs w:val="21"/>
              </w:rPr>
              <w:t>年</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预计使用超6年</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下学期正式投入</w:t>
            </w:r>
            <w:r>
              <w:rPr>
                <w:rFonts w:ascii="仿宋_GB2312" w:hAnsi="宋体" w:eastAsia="仿宋_GB2312" w:cs="宋体"/>
                <w:kern w:val="0"/>
                <w:szCs w:val="21"/>
              </w:rPr>
              <w:t>使用后</w:t>
            </w:r>
            <w:r>
              <w:rPr>
                <w:rFonts w:hint="eastAsia" w:ascii="仿宋_GB2312" w:hAnsi="宋体" w:eastAsia="仿宋_GB2312" w:cs="宋体"/>
                <w:kern w:val="0"/>
                <w:szCs w:val="21"/>
              </w:rPr>
              <w:t>预计实现</w:t>
            </w:r>
          </w:p>
        </w:tc>
      </w:tr>
      <w:tr>
        <w:tblPrEx>
          <w:tblCellMar>
            <w:top w:w="0" w:type="dxa"/>
            <w:left w:w="108" w:type="dxa"/>
            <w:bottom w:w="0" w:type="dxa"/>
            <w:right w:w="108" w:type="dxa"/>
          </w:tblCellMar>
        </w:tblPrEx>
        <w:trPr>
          <w:trHeight w:val="2174" w:hRule="exact"/>
          <w:jc w:val="center"/>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7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33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414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能够极大的提升特种加工基地的使用率，减少使用过程中不必要的的功能冲突，既节约了建设成本、运作成本，又扩展了功能性、实用性，可有效解决实训设备台套数不足、人均实验时间短的问题，必将受到广大师生的欢迎与认可。</w:t>
            </w:r>
          </w:p>
        </w:tc>
        <w:tc>
          <w:tcPr>
            <w:tcW w:w="8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达到95%</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达到95%</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未运行，后期进行满意度调查</w:t>
            </w:r>
          </w:p>
        </w:tc>
      </w:tr>
      <w:tr>
        <w:tblPrEx>
          <w:tblCellMar>
            <w:top w:w="0" w:type="dxa"/>
            <w:left w:w="108" w:type="dxa"/>
            <w:bottom w:w="0" w:type="dxa"/>
            <w:right w:w="108" w:type="dxa"/>
          </w:tblCellMar>
        </w:tblPrEx>
        <w:trPr>
          <w:trHeight w:val="567" w:hRule="exact"/>
          <w:jc w:val="center"/>
        </w:trPr>
        <w:tc>
          <w:tcPr>
            <w:tcW w:w="981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4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8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89.17</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sectPr>
      <w:footerReference r:id="rId3"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Y1M2QwYjNhNTk5MjZhMDQzOThjMGY1M2MwZTczYTQifQ=="/>
  </w:docVars>
  <w:rsids>
    <w:rsidRoot w:val="00512C82"/>
    <w:rsid w:val="0004701B"/>
    <w:rsid w:val="000B3954"/>
    <w:rsid w:val="003435ED"/>
    <w:rsid w:val="0034528D"/>
    <w:rsid w:val="00385B96"/>
    <w:rsid w:val="003D09B3"/>
    <w:rsid w:val="0045622B"/>
    <w:rsid w:val="004F1DC7"/>
    <w:rsid w:val="00512C82"/>
    <w:rsid w:val="006642B1"/>
    <w:rsid w:val="00691A1C"/>
    <w:rsid w:val="006F076D"/>
    <w:rsid w:val="00766430"/>
    <w:rsid w:val="007757CB"/>
    <w:rsid w:val="007778D6"/>
    <w:rsid w:val="00791DC3"/>
    <w:rsid w:val="00801EF9"/>
    <w:rsid w:val="008A3EEA"/>
    <w:rsid w:val="008A4918"/>
    <w:rsid w:val="008D64F6"/>
    <w:rsid w:val="0090077A"/>
    <w:rsid w:val="00914559"/>
    <w:rsid w:val="00A14E5C"/>
    <w:rsid w:val="00A52459"/>
    <w:rsid w:val="00B3749F"/>
    <w:rsid w:val="00B47A57"/>
    <w:rsid w:val="00B55475"/>
    <w:rsid w:val="00B72449"/>
    <w:rsid w:val="00C260F8"/>
    <w:rsid w:val="00C455EC"/>
    <w:rsid w:val="00CE49C2"/>
    <w:rsid w:val="00DD1AD7"/>
    <w:rsid w:val="00DE7608"/>
    <w:rsid w:val="00E017CD"/>
    <w:rsid w:val="00E0257C"/>
    <w:rsid w:val="00E4527A"/>
    <w:rsid w:val="00EE4A1D"/>
    <w:rsid w:val="00F561EB"/>
    <w:rsid w:val="00F84936"/>
    <w:rsid w:val="00FF4F42"/>
    <w:rsid w:val="00FF6AF8"/>
    <w:rsid w:val="030E5DCB"/>
    <w:rsid w:val="0B8D25A0"/>
    <w:rsid w:val="2B3F08B6"/>
    <w:rsid w:val="2D5D0E90"/>
    <w:rsid w:val="313431A6"/>
    <w:rsid w:val="35351D4D"/>
    <w:rsid w:val="37E72FFE"/>
    <w:rsid w:val="385177E8"/>
    <w:rsid w:val="3EB108A1"/>
    <w:rsid w:val="443D361B"/>
    <w:rsid w:val="44A17E8A"/>
    <w:rsid w:val="46840A71"/>
    <w:rsid w:val="46F549B4"/>
    <w:rsid w:val="4B26517A"/>
    <w:rsid w:val="4E023D7D"/>
    <w:rsid w:val="5574241E"/>
    <w:rsid w:val="5F874378"/>
    <w:rsid w:val="7108796B"/>
    <w:rsid w:val="731F76D5"/>
    <w:rsid w:val="74C50C89"/>
    <w:rsid w:val="783C4E02"/>
    <w:rsid w:val="7FFB8508"/>
    <w:rsid w:val="B9E710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uiPriority w:val="99"/>
    <w:rPr>
      <w:sz w:val="18"/>
      <w:szCs w:val="18"/>
    </w:rPr>
  </w:style>
  <w:style w:type="character" w:customStyle="1" w:styleId="7">
    <w:name w:val="页眉 Char"/>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66970-DD7C-4034-8E9F-AEC5DE8A7017}">
  <ds:schemaRefs/>
</ds:datastoreItem>
</file>

<file path=docProps/app.xml><?xml version="1.0" encoding="utf-8"?>
<Properties xmlns="http://schemas.openxmlformats.org/officeDocument/2006/extended-properties" xmlns:vt="http://schemas.openxmlformats.org/officeDocument/2006/docPropsVTypes">
  <Template>Normal</Template>
  <Pages>4</Pages>
  <Words>346</Words>
  <Characters>1975</Characters>
  <Lines>16</Lines>
  <Paragraphs>4</Paragraphs>
  <TotalTime>17</TotalTime>
  <ScaleCrop>false</ScaleCrop>
  <LinksUpToDate>false</LinksUpToDate>
  <CharactersWithSpaces>2317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2024-05-14T03:22:00Z</dcterms:created>
  <dc:creator>Administrator</dc:creator>
  <cp:lastModifiedBy>微信用户</cp:lastModifiedBy>
  <dcterms:modified xsi:type="dcterms:W3CDTF">2024-05-17T07:18:46Z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E163569FC66E4A5C82C349BF24E528D2_12</vt:lpwstr>
  </property>
</Properties>
</file>