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10" w:type="pct"/>
        <w:tblInd w:w="0" w:type="dxa"/>
        <w:tblLayout w:type="fixed"/>
        <w:tblCellMar>
          <w:top w:w="0" w:type="dxa"/>
          <w:left w:w="108" w:type="dxa"/>
          <w:bottom w:w="0" w:type="dxa"/>
          <w:right w:w="108" w:type="dxa"/>
        </w:tblCellMar>
      </w:tblPr>
      <w:tblGrid>
        <w:gridCol w:w="502"/>
        <w:gridCol w:w="660"/>
        <w:gridCol w:w="640"/>
        <w:gridCol w:w="1750"/>
        <w:gridCol w:w="1390"/>
        <w:gridCol w:w="1680"/>
        <w:gridCol w:w="1220"/>
        <w:gridCol w:w="3120"/>
        <w:gridCol w:w="720"/>
        <w:gridCol w:w="850"/>
        <w:gridCol w:w="1388"/>
      </w:tblGrid>
      <w:tr>
        <w:tblPrEx>
          <w:tblCellMar>
            <w:top w:w="0" w:type="dxa"/>
            <w:left w:w="108" w:type="dxa"/>
            <w:bottom w:w="0" w:type="dxa"/>
            <w:right w:w="108" w:type="dxa"/>
          </w:tblCellMar>
        </w:tblPrEx>
        <w:trPr>
          <w:trHeight w:val="711" w:hRule="exact"/>
        </w:trPr>
        <w:tc>
          <w:tcPr>
            <w:tcW w:w="5000" w:type="pct"/>
            <w:gridSpan w:val="11"/>
            <w:tcBorders>
              <w:top w:val="nil"/>
              <w:left w:val="nil"/>
              <w:bottom w:val="nil"/>
              <w:right w:val="nil"/>
            </w:tcBorders>
            <w:shd w:val="clear" w:color="auto" w:fill="auto"/>
            <w:vAlign w:val="center"/>
          </w:tcPr>
          <w:p>
            <w:pPr>
              <w:widowControl/>
              <w:jc w:val="center"/>
              <w:textAlignment w:val="center"/>
              <w:rPr>
                <w:rFonts w:ascii="仿宋" w:hAnsi="仿宋" w:eastAsia="仿宋" w:cs="仿宋"/>
                <w:b/>
                <w:bCs/>
                <w:color w:val="000000"/>
                <w:sz w:val="36"/>
                <w:szCs w:val="36"/>
              </w:rPr>
            </w:pPr>
            <w:r>
              <w:rPr>
                <w:rFonts w:hint="eastAsia" w:ascii="方正小标宋简体" w:hAnsi="方正小标宋简体" w:eastAsia="方正小标宋简体" w:cs="方正小标宋简体"/>
                <w:b w:val="0"/>
                <w:bCs w:val="0"/>
                <w:sz w:val="36"/>
                <w:szCs w:val="36"/>
              </w:rPr>
              <w:t>项目支出绩效自评表</w:t>
            </w:r>
            <w:r>
              <w:rPr>
                <w:rFonts w:hint="eastAsia" w:ascii="方正小标宋简体" w:hAnsi="方正小标宋简体" w:eastAsia="方正小标宋简体" w:cs="方正小标宋简体"/>
                <w:b w:val="0"/>
                <w:bCs w:val="0"/>
                <w:sz w:val="36"/>
                <w:szCs w:val="36"/>
              </w:rPr>
              <w:br w:type="textWrapping"/>
            </w:r>
          </w:p>
        </w:tc>
      </w:tr>
      <w:tr>
        <w:tblPrEx>
          <w:tblCellMar>
            <w:top w:w="0" w:type="dxa"/>
            <w:left w:w="108" w:type="dxa"/>
            <w:bottom w:w="0" w:type="dxa"/>
            <w:right w:w="108" w:type="dxa"/>
          </w:tblCellMar>
        </w:tblPrEx>
        <w:trPr>
          <w:trHeight w:val="555" w:hRule="exact"/>
        </w:trPr>
        <w:tc>
          <w:tcPr>
            <w:tcW w:w="5000" w:type="pct"/>
            <w:gridSpan w:val="11"/>
            <w:tcBorders>
              <w:top w:val="nil"/>
              <w:left w:val="nil"/>
              <w:bottom w:val="single" w:color="000000" w:sz="4" w:space="0"/>
              <w:right w:val="nil"/>
            </w:tcBorders>
            <w:shd w:val="clear" w:color="auto" w:fill="auto"/>
          </w:tcPr>
          <w:p>
            <w:pPr>
              <w:widowControl/>
              <w:jc w:val="center"/>
              <w:textAlignment w:val="top"/>
              <w:rPr>
                <w:rFonts w:ascii="仿宋" w:hAnsi="仿宋" w:eastAsia="仿宋" w:cs="仿宋"/>
                <w:b/>
                <w:bCs/>
                <w:color w:val="000000"/>
                <w:sz w:val="36"/>
                <w:szCs w:val="36"/>
              </w:rPr>
            </w:pPr>
            <w:r>
              <w:rPr>
                <w:rFonts w:hint="eastAsia" w:ascii="仿宋_GB2312" w:hAnsi="宋体" w:eastAsia="仿宋_GB2312" w:cs="宋体"/>
                <w:kern w:val="0"/>
                <w:sz w:val="28"/>
                <w:szCs w:val="28"/>
              </w:rPr>
              <w:t>（202</w:t>
            </w:r>
            <w:r>
              <w:rPr>
                <w:rFonts w:hint="eastAsia" w:ascii="仿宋_GB2312" w:hAnsi="宋体" w:eastAsia="仿宋_GB2312" w:cs="宋体"/>
                <w:kern w:val="0"/>
                <w:sz w:val="28"/>
                <w:szCs w:val="28"/>
                <w:lang w:val="en-US" w:eastAsia="zh-CN"/>
              </w:rPr>
              <w:t>3</w:t>
            </w:r>
            <w:r>
              <w:rPr>
                <w:rFonts w:hint="eastAsia" w:ascii="仿宋_GB2312" w:hAnsi="宋体" w:eastAsia="仿宋_GB2312" w:cs="宋体"/>
                <w:kern w:val="0"/>
                <w:sz w:val="28"/>
                <w:szCs w:val="28"/>
              </w:rPr>
              <w:t>年度）</w:t>
            </w:r>
          </w:p>
        </w:tc>
      </w:tr>
      <w:tr>
        <w:tblPrEx>
          <w:tblCellMar>
            <w:top w:w="0" w:type="dxa"/>
            <w:left w:w="108" w:type="dxa"/>
            <w:bottom w:w="0" w:type="dxa"/>
            <w:right w:w="108" w:type="dxa"/>
          </w:tblCellMar>
        </w:tblPrEx>
        <w:trPr>
          <w:trHeight w:val="555" w:hRule="exact"/>
        </w:trPr>
        <w:tc>
          <w:tcPr>
            <w:tcW w:w="6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435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改善办学保障条件—北京信息科技大学新校区第二阶段启用区域室内空气环境检测及治理项目（新竣工楼配套）</w:t>
            </w:r>
          </w:p>
        </w:tc>
      </w:tr>
      <w:tr>
        <w:tblPrEx>
          <w:tblCellMar>
            <w:top w:w="0" w:type="dxa"/>
            <w:left w:w="108" w:type="dxa"/>
            <w:bottom w:w="0" w:type="dxa"/>
            <w:right w:w="108" w:type="dxa"/>
          </w:tblCellMar>
        </w:tblPrEx>
        <w:trPr>
          <w:trHeight w:val="555" w:hRule="exact"/>
        </w:trPr>
        <w:tc>
          <w:tcPr>
            <w:tcW w:w="6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1731" w:type="pct"/>
            <w:gridSpan w:val="3"/>
            <w:tcBorders>
              <w:top w:val="single" w:color="000000" w:sz="4" w:space="0"/>
              <w:left w:val="single" w:color="000000" w:sz="4" w:space="0"/>
              <w:bottom w:val="single" w:color="000000" w:sz="4" w:space="0"/>
              <w:right w:val="nil"/>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北京市教育委员会</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1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北京信息科技大学</w:t>
            </w:r>
          </w:p>
        </w:tc>
      </w:tr>
      <w:tr>
        <w:tblPrEx>
          <w:tblCellMar>
            <w:top w:w="0" w:type="dxa"/>
            <w:left w:w="108" w:type="dxa"/>
            <w:bottom w:w="0" w:type="dxa"/>
            <w:right w:w="108" w:type="dxa"/>
          </w:tblCellMar>
        </w:tblPrEx>
        <w:trPr>
          <w:trHeight w:val="555" w:hRule="exact"/>
        </w:trPr>
        <w:tc>
          <w:tcPr>
            <w:tcW w:w="64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1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赵立胜</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1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80700662</w:t>
            </w:r>
          </w:p>
        </w:tc>
      </w:tr>
      <w:tr>
        <w:tblPrEx>
          <w:tblCellMar>
            <w:top w:w="0" w:type="dxa"/>
            <w:left w:w="108" w:type="dxa"/>
            <w:bottom w:w="0" w:type="dxa"/>
            <w:right w:w="108" w:type="dxa"/>
          </w:tblCellMar>
        </w:tblPrEx>
        <w:trPr>
          <w:trHeight w:val="555" w:hRule="exact"/>
        </w:trPr>
        <w:tc>
          <w:tcPr>
            <w:tcW w:w="647"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（万元）</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年初预算数</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全年预算数</w:t>
            </w:r>
          </w:p>
        </w:tc>
        <w:tc>
          <w:tcPr>
            <w:tcW w:w="1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全年执行数</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预算执行率</w:t>
            </w: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555" w:hRule="exact"/>
        </w:trPr>
        <w:tc>
          <w:tcPr>
            <w:tcW w:w="64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292.950000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292.950000</w:t>
            </w:r>
          </w:p>
        </w:tc>
        <w:tc>
          <w:tcPr>
            <w:tcW w:w="1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292.948562</w:t>
            </w:r>
          </w:p>
        </w:tc>
        <w:tc>
          <w:tcPr>
            <w:tcW w:w="258" w:type="pc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100%</w:t>
            </w: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r>
      <w:tr>
        <w:tblPrEx>
          <w:tblCellMar>
            <w:top w:w="0" w:type="dxa"/>
            <w:left w:w="108" w:type="dxa"/>
            <w:bottom w:w="0" w:type="dxa"/>
            <w:right w:w="108" w:type="dxa"/>
          </w:tblCellMar>
        </w:tblPrEx>
        <w:trPr>
          <w:trHeight w:val="850" w:hRule="exact"/>
        </w:trPr>
        <w:tc>
          <w:tcPr>
            <w:tcW w:w="64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292.950000</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292.950000</w:t>
            </w:r>
          </w:p>
        </w:tc>
        <w:tc>
          <w:tcPr>
            <w:tcW w:w="1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292.948562</w:t>
            </w:r>
          </w:p>
        </w:tc>
        <w:tc>
          <w:tcPr>
            <w:tcW w:w="258" w:type="pct"/>
            <w:tcBorders>
              <w:top w:val="single" w:color="000000" w:sz="4" w:space="0"/>
              <w:left w:val="nil"/>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55" w:hRule="exact"/>
        </w:trPr>
        <w:tc>
          <w:tcPr>
            <w:tcW w:w="64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55" w:hRule="exact"/>
        </w:trPr>
        <w:tc>
          <w:tcPr>
            <w:tcW w:w="647"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5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58" w:type="pct"/>
            <w:tcBorders>
              <w:top w:val="single" w:color="000000" w:sz="4" w:space="0"/>
              <w:left w:val="nil"/>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1585" w:hRule="exact"/>
        </w:trPr>
        <w:tc>
          <w:tcPr>
            <w:tcW w:w="1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21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26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4969" w:hRule="exact"/>
        </w:trPr>
        <w:tc>
          <w:tcPr>
            <w:tcW w:w="180"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198" w:type="pct"/>
            <w:gridSpan w:val="5"/>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根据教发厅函[2020]32号《教育部办公厅关于加强学校新建校舍室内空气质量管理的通知》相关要求，新建校舍必须环境安全，为师生提供安全的环境是本项目的重要工作内容，实现师生入住新校区，此项目的投入，使新校区具备安全洁净的环境，可以减少舆情，增加师生满意度，也反映北京市教委、北京信息科技大学对师生身心健康关注及负责任的态度，也是学校入驻的必要工作。</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项目方案明确，2023年9月师生入驻前完成第二阶段启用区域189187.60㎡，室内环境甲醛、苯、甲苯、二甲苯、TVOC五项检测；完成189187.60㎡室内空气环境治理，包括信息楼ABCD座、科研楼、行政楼、学一公寓、学四公寓、学五公寓、学六公寓、学七公寓、对学生发展中心、实践中心、后勤楼、一食堂、校医院、供暖中心、体育馆，并出具室内空气检测报告，确保室内空气质量安全达标。</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r>
              <w:rPr>
                <w:rFonts w:hint="eastAsia" w:ascii="仿宋_GB2312" w:hAnsi="宋体" w:eastAsia="仿宋_GB2312" w:cs="宋体"/>
                <w:kern w:val="0"/>
                <w:szCs w:val="21"/>
                <w:lang w:val="en-US" w:eastAsia="zh-CN"/>
              </w:rPr>
              <w:tab/>
            </w:r>
          </w:p>
          <w:p>
            <w:pPr>
              <w:widowControl/>
              <w:jc w:val="left"/>
              <w:textAlignment w:val="center"/>
              <w:rPr>
                <w:rFonts w:hint="eastAsia" w:ascii="仿宋_GB2312" w:hAnsi="宋体" w:eastAsia="仿宋_GB2312" w:cs="宋体"/>
                <w:kern w:val="0"/>
                <w:szCs w:val="21"/>
              </w:rPr>
            </w:pP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p>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r>
              <w:rPr>
                <w:rFonts w:hint="eastAsia" w:ascii="仿宋_GB2312" w:hAnsi="宋体" w:eastAsia="仿宋_GB2312" w:cs="宋体"/>
                <w:kern w:val="0"/>
                <w:szCs w:val="21"/>
              </w:rPr>
              <w:tab/>
            </w:r>
          </w:p>
        </w:tc>
        <w:tc>
          <w:tcPr>
            <w:tcW w:w="2621" w:type="pct"/>
            <w:gridSpan w:val="5"/>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hint="eastAsia" w:ascii="仿宋_GB2312" w:hAnsi="宋体" w:eastAsia="仿宋_GB2312" w:cs="宋体"/>
                <w:kern w:val="0"/>
                <w:szCs w:val="21"/>
              </w:rPr>
            </w:pPr>
            <w:r>
              <w:rPr>
                <w:rFonts w:hint="eastAsia" w:ascii="仿宋_GB2312" w:hAnsi="宋体" w:eastAsia="仿宋_GB2312" w:cs="宋体"/>
                <w:kern w:val="0"/>
                <w:szCs w:val="21"/>
              </w:rPr>
              <w:t>空气环境检测项目完成16</w:t>
            </w:r>
            <w:r>
              <w:rPr>
                <w:rFonts w:hint="eastAsia" w:ascii="仿宋_GB2312" w:hAnsi="宋体" w:eastAsia="仿宋_GB2312" w:cs="宋体"/>
                <w:kern w:val="0"/>
                <w:szCs w:val="21"/>
                <w:lang w:eastAsia="zh-CN"/>
              </w:rPr>
              <w:t>栋</w:t>
            </w:r>
            <w:r>
              <w:rPr>
                <w:rFonts w:hint="eastAsia" w:ascii="仿宋_GB2312" w:hAnsi="宋体" w:eastAsia="仿宋_GB2312" w:cs="宋体"/>
                <w:kern w:val="0"/>
                <w:szCs w:val="21"/>
              </w:rPr>
              <w:t>楼宇</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信息楼A、B、C、D座、科研楼、行政楼、学一公寓、学四公寓、学五公寓、学六公寓、学七公寓、学生发展中心、实践中心、后勤楼、学一食堂、校医院、供暖中心、体育馆，教工活动中心</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5105点的项目检测工作。采样41天，5000多张现场采样过程</w:t>
            </w:r>
            <w:r>
              <w:rPr>
                <w:rFonts w:hint="eastAsia" w:ascii="仿宋_GB2312" w:hAnsi="宋体" w:eastAsia="仿宋_GB2312" w:cs="宋体"/>
                <w:kern w:val="0"/>
                <w:szCs w:val="21"/>
                <w:lang w:eastAsia="zh-CN"/>
              </w:rPr>
              <w:t>图</w:t>
            </w:r>
            <w:r>
              <w:rPr>
                <w:rFonts w:hint="eastAsia" w:ascii="仿宋_GB2312" w:hAnsi="宋体" w:eastAsia="仿宋_GB2312" w:cs="宋体"/>
                <w:kern w:val="0"/>
                <w:szCs w:val="21"/>
              </w:rPr>
              <w:t>片，实验室分析抽检87天（包含采样当天），涉及结果数据近30000多条，</w:t>
            </w:r>
            <w:r>
              <w:rPr>
                <w:rFonts w:hint="eastAsia" w:ascii="仿宋_GB2312" w:hAnsi="宋体" w:eastAsia="仿宋_GB2312" w:cs="宋体"/>
                <w:kern w:val="0"/>
                <w:szCs w:val="21"/>
                <w:lang w:eastAsia="zh-CN"/>
              </w:rPr>
              <w:t>出具可查询</w:t>
            </w:r>
            <w:r>
              <w:rPr>
                <w:rFonts w:hint="eastAsia" w:ascii="仿宋_GB2312" w:hAnsi="宋体" w:eastAsia="仿宋_GB2312" w:cs="宋体"/>
                <w:kern w:val="0"/>
                <w:szCs w:val="21"/>
              </w:rPr>
              <w:t>CMA报告284份，</w:t>
            </w:r>
            <w:r>
              <w:rPr>
                <w:rFonts w:hint="eastAsia" w:ascii="仿宋_GB2312" w:hAnsi="宋体" w:eastAsia="仿宋_GB2312" w:cs="宋体"/>
                <w:kern w:val="0"/>
                <w:szCs w:val="21"/>
                <w:lang w:val="en-US" w:eastAsia="zh-CN"/>
              </w:rPr>
              <w:t>室内环境甲醛、苯、甲苯、二甲苯、TVOC五项检测</w:t>
            </w:r>
            <w:r>
              <w:rPr>
                <w:rFonts w:hint="eastAsia" w:ascii="仿宋_GB2312" w:hAnsi="宋体" w:eastAsia="仿宋_GB2312" w:cs="宋体"/>
                <w:kern w:val="0"/>
                <w:szCs w:val="21"/>
                <w:lang w:eastAsia="zh-CN"/>
              </w:rPr>
              <w:t>指标</w:t>
            </w:r>
            <w:r>
              <w:rPr>
                <w:rFonts w:hint="eastAsia" w:ascii="仿宋_GB2312" w:hAnsi="宋体" w:eastAsia="仿宋_GB2312" w:cs="宋体"/>
                <w:kern w:val="0"/>
                <w:szCs w:val="21"/>
              </w:rPr>
              <w:t>数据5005条。</w:t>
            </w:r>
            <w:r>
              <w:rPr>
                <w:rFonts w:hint="eastAsia" w:ascii="仿宋_GB2312" w:hAnsi="宋体" w:eastAsia="仿宋_GB2312" w:cs="宋体"/>
                <w:kern w:val="0"/>
                <w:szCs w:val="21"/>
                <w:lang w:val="en-US" w:eastAsia="zh-CN"/>
              </w:rPr>
              <w:t>报告显示所有指标均符合GB50325-2020《民用建筑工程室内环境污染控制规范》标准中的I类建筑物标准。</w:t>
            </w:r>
          </w:p>
          <w:p>
            <w:pPr>
              <w:widowControl/>
              <w:jc w:val="left"/>
              <w:textAlignment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空气环境治理项目2023年</w:t>
            </w:r>
            <w:r>
              <w:rPr>
                <w:rFonts w:hint="eastAsia" w:ascii="仿宋_GB2312" w:hAnsi="宋体" w:eastAsia="仿宋_GB2312" w:cs="宋体"/>
                <w:kern w:val="0"/>
                <w:szCs w:val="21"/>
              </w:rPr>
              <w:t>完成16</w:t>
            </w:r>
            <w:r>
              <w:rPr>
                <w:rFonts w:hint="eastAsia" w:ascii="仿宋_GB2312" w:hAnsi="宋体" w:eastAsia="仿宋_GB2312" w:cs="宋体"/>
                <w:kern w:val="0"/>
                <w:szCs w:val="21"/>
                <w:lang w:eastAsia="zh-CN"/>
              </w:rPr>
              <w:t>栋</w:t>
            </w:r>
            <w:r>
              <w:rPr>
                <w:rFonts w:hint="eastAsia" w:ascii="仿宋_GB2312" w:hAnsi="宋体" w:eastAsia="仿宋_GB2312" w:cs="宋体"/>
                <w:kern w:val="0"/>
                <w:szCs w:val="21"/>
              </w:rPr>
              <w:t>楼宇</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信息楼A、B、C、D座、科研楼、行政楼、学一公寓、学四公寓、学五公寓、学六公寓、学七公寓、学生发展中心、实践中心、后勤楼、学一食堂、校医院、供暖中心、体育馆，教工活动中心</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共计189187.57平方米的空气环境治理。委托第三方CMA机构（建研院检测中心有限公司/国家建筑工程质量检验检测中心）对所有的楼体进行了室内空气检测，所有指标均符合GB50325-2020《民用建筑工程室内环境污染控制规范》标准I类建筑物标准。现场治理260天，2000余张现场过程全要素</w:t>
            </w:r>
            <w:r>
              <w:rPr>
                <w:rFonts w:hint="eastAsia" w:ascii="仿宋_GB2312" w:hAnsi="宋体" w:eastAsia="仿宋_GB2312" w:cs="宋体"/>
                <w:kern w:val="0"/>
                <w:szCs w:val="21"/>
                <w:lang w:eastAsia="zh-CN"/>
              </w:rPr>
              <w:t>记录施工情况</w:t>
            </w:r>
            <w:r>
              <w:rPr>
                <w:rFonts w:hint="eastAsia" w:ascii="仿宋_GB2312" w:hAnsi="宋体" w:eastAsia="仿宋_GB2312" w:cs="宋体"/>
                <w:kern w:val="0"/>
                <w:szCs w:val="21"/>
              </w:rPr>
              <w:t>图片。</w:t>
            </w:r>
          </w:p>
          <w:p>
            <w:pPr>
              <w:widowControl/>
              <w:jc w:val="left"/>
              <w:textAlignment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0" w:hRule="exact"/>
        </w:trPr>
        <w:tc>
          <w:tcPr>
            <w:tcW w:w="180" w:type="pct"/>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绩效指标</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年度指标值</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实际完成值</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偏</w:t>
            </w:r>
            <w:r>
              <w:rPr>
                <w:rFonts w:hint="eastAsia" w:ascii="仿宋_GB2312" w:hAnsi="宋体" w:eastAsia="仿宋_GB2312" w:cs="宋体"/>
                <w:kern w:val="0"/>
                <w:szCs w:val="21"/>
              </w:rPr>
              <w:t>差原因分析及改进措施</w:t>
            </w:r>
          </w:p>
        </w:tc>
      </w:tr>
      <w:tr>
        <w:tblPrEx>
          <w:tblCellMar>
            <w:top w:w="0" w:type="dxa"/>
            <w:left w:w="108" w:type="dxa"/>
            <w:bottom w:w="0" w:type="dxa"/>
            <w:right w:w="108" w:type="dxa"/>
          </w:tblCellMar>
        </w:tblPrEx>
        <w:trPr>
          <w:trHeight w:val="1289"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产出指</w:t>
            </w:r>
            <w:r>
              <w:rPr>
                <w:rFonts w:hint="eastAsia" w:ascii="仿宋_GB2312" w:hAnsi="宋体" w:eastAsia="仿宋_GB2312" w:cs="宋体"/>
                <w:kern w:val="0"/>
                <w:szCs w:val="21"/>
              </w:rPr>
              <w:t>标</w:t>
            </w:r>
          </w:p>
        </w:tc>
        <w:tc>
          <w:tcPr>
            <w:tcW w:w="2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启用区域189187.60㎡（建筑面积）室内环境甲醛、苯、甲苯、二甲苯、TVOC五</w:t>
            </w:r>
            <w:bookmarkStart w:id="0" w:name="_GoBack"/>
            <w:bookmarkEnd w:id="0"/>
            <w:r>
              <w:rPr>
                <w:rFonts w:hint="eastAsia" w:ascii="仿宋_GB2312" w:hAnsi="宋体" w:eastAsia="仿宋_GB2312" w:cs="宋体"/>
                <w:kern w:val="0"/>
                <w:szCs w:val="21"/>
              </w:rPr>
              <w:t>项检测</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4286个</w:t>
            </w:r>
            <w:r>
              <w:rPr>
                <w:rFonts w:hint="eastAsia" w:ascii="仿宋_GB2312" w:hAnsi="宋体" w:eastAsia="仿宋_GB2312" w:cs="宋体"/>
                <w:kern w:val="0"/>
                <w:szCs w:val="21"/>
              </w:rPr>
              <w:t>点</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1.检测项目第三方CMA机构中冶检测完成检测5105个点，检测16个楼宇甲醛、苯、甲苯、二甲苯和挥发性有机化合物（TVOC）等五项污染物浓度，检测点次共5105次。</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2.治理项目第三方</w:t>
            </w:r>
            <w:r>
              <w:rPr>
                <w:rFonts w:hint="eastAsia" w:ascii="仿宋_GB2312" w:hAnsi="宋体" w:eastAsia="仿宋_GB2312" w:cs="宋体"/>
                <w:kern w:val="0"/>
                <w:szCs w:val="21"/>
              </w:rPr>
              <w:t>CMA机构</w:t>
            </w:r>
            <w:r>
              <w:rPr>
                <w:rFonts w:hint="eastAsia" w:ascii="仿宋_GB2312" w:hAnsi="宋体" w:eastAsia="仿宋_GB2312" w:cs="宋体"/>
                <w:kern w:val="0"/>
                <w:szCs w:val="21"/>
                <w:lang w:val="en-US" w:eastAsia="zh-CN"/>
              </w:rPr>
              <w:t>建研院检测中心有限公司/国家建筑工程质量检验检测中心）对所有的楼体进行了室内空气检测，检测点位1343个。</w:t>
            </w:r>
          </w:p>
          <w:p>
            <w:pPr>
              <w:widowControl/>
              <w:jc w:val="left"/>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val="en-US" w:eastAsia="zh-CN"/>
              </w:rPr>
              <w:t>以上两个公司的检测报告显示</w:t>
            </w:r>
            <w:r>
              <w:rPr>
                <w:rFonts w:hint="eastAsia" w:ascii="仿宋_GB2312" w:hAnsi="宋体" w:eastAsia="仿宋_GB2312" w:cs="宋体"/>
                <w:kern w:val="0"/>
                <w:szCs w:val="21"/>
              </w:rPr>
              <w:t>甲醛、苯、甲苯、二甲苯、TVOC五项检测</w:t>
            </w:r>
            <w:r>
              <w:rPr>
                <w:rFonts w:hint="eastAsia" w:ascii="仿宋_GB2312" w:hAnsi="宋体" w:eastAsia="仿宋_GB2312" w:cs="宋体"/>
                <w:kern w:val="0"/>
                <w:szCs w:val="21"/>
                <w:lang w:val="en-US" w:eastAsia="zh-CN"/>
              </w:rPr>
              <w:t>均符合GB50325-2020《民用建筑工程室内环境污染控制规范》标准中的I类建筑物标准。</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277"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2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启用区域189187.60㎡（治理面积）室内空气环境有害物治理</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189187.60㎡</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rPr>
              <w:t>启用区域189187.60㎡（治理面积）</w:t>
            </w:r>
            <w:r>
              <w:rPr>
                <w:rFonts w:hint="eastAsia" w:ascii="仿宋_GB2312" w:hAnsi="宋体" w:eastAsia="仿宋_GB2312" w:cs="宋体"/>
                <w:kern w:val="0"/>
                <w:szCs w:val="21"/>
                <w:lang w:val="en-US" w:eastAsia="zh-CN"/>
              </w:rPr>
              <w:t>已完成100%。具体完成楼宇面积如下：锅炉房/供暖中心：120平方米；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综合办公楼/立德楼：10766.72平方米；学一公寓：28813.02平方米；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学四公寓：24046.44平方米；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教工活动中心：2192.24平方米；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科研楼：19164.0平方米；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第三教学组团/信息楼A/B/C/D座：38698.28平方米；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风雨操场/体育馆：15802.0平方米；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学生发展中心：9654.44平方米；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学五公寓：7480.85平方米；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学六公寓：6460.53平方米；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学七公寓：6460.53平方米；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后勤设施用房：1331.0平方米；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工训中心：8403.72平方米；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医务所/校医院：1782.8平方米；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学一食堂：8011.0平方米；</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共计</w:t>
            </w:r>
            <w:r>
              <w:rPr>
                <w:rFonts w:hint="eastAsia" w:ascii="仿宋_GB2312" w:hAnsi="宋体" w:eastAsia="仿宋_GB2312" w:cs="宋体"/>
                <w:kern w:val="0"/>
                <w:szCs w:val="21"/>
              </w:rPr>
              <w:t>189187.60㎡</w:t>
            </w:r>
            <w:r>
              <w:rPr>
                <w:rFonts w:hint="eastAsia" w:ascii="仿宋_GB2312" w:hAnsi="宋体" w:eastAsia="仿宋_GB2312" w:cs="宋体"/>
                <w:kern w:val="0"/>
                <w:szCs w:val="21"/>
                <w:lang w:eastAsia="zh-CN"/>
              </w:rPr>
              <w:t>。</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8</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8</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3792"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2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出具室内空气检测报告</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完成室内环境检测报告，明确知晓空间环境有害物种类及含量数据</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累计出具CMA报告311份，涉及数据6348条。</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1.检测项目第三方CMA机构中冶检测出具CMA报告284份，涉及5005点位。完成16栋楼宇的甲醛、苯、甲苯、二甲苯和挥发性有机化合物（TVOC）等五项污染物浓度检测。</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2.治理项目第三方CMA机构建研院检测中心有限公司/国家建筑工程质量检验检测中心）出具CMA报告27份，涉及1343点位。完成16栋楼宇的甲醛、苯、甲苯、二甲苯和挥发性有机化合物（TVOC）等五项污染物浓度检测。</w:t>
            </w:r>
          </w:p>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以上两个公司的检测报告显示甲醛、苯、甲苯、二甲苯、TVOC五项检测均符合国家标准。</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7</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2352"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2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确保室内空气质量各项指标安全达标，低于《民用建筑工程室内环境污染控制标准》GB50325-2020</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低于0.06mg每立方米</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仿宋_GB2312" w:hAnsi="宋体" w:eastAsia="仿宋_GB2312" w:cs="宋体"/>
                <w:kern w:val="0"/>
                <w:szCs w:val="21"/>
                <w:lang w:val="en-US"/>
              </w:rPr>
            </w:pPr>
            <w:r>
              <w:rPr>
                <w:rFonts w:hint="eastAsia" w:ascii="仿宋_GB2312" w:hAnsi="宋体" w:eastAsia="仿宋_GB2312" w:cs="宋体"/>
                <w:kern w:val="0"/>
                <w:szCs w:val="21"/>
                <w:lang w:eastAsia="zh-CN"/>
              </w:rPr>
              <w:t>检测项目结果显示：</w:t>
            </w:r>
            <w:r>
              <w:rPr>
                <w:rFonts w:hint="eastAsia" w:ascii="仿宋_GB2312" w:hAnsi="宋体" w:eastAsia="仿宋_GB2312" w:cs="宋体"/>
                <w:kern w:val="0"/>
                <w:szCs w:val="21"/>
              </w:rPr>
              <w:t>甲醛</w:t>
            </w:r>
            <w:r>
              <w:rPr>
                <w:rFonts w:hint="eastAsia" w:ascii="仿宋_GB2312" w:hAnsi="宋体" w:eastAsia="仿宋_GB2312" w:cs="宋体"/>
                <w:kern w:val="0"/>
                <w:szCs w:val="21"/>
                <w:lang w:val="en-US" w:eastAsia="zh-CN"/>
              </w:rPr>
              <w:t>的平均检测含量为0.022</w:t>
            </w:r>
            <w:r>
              <w:rPr>
                <w:rFonts w:hint="eastAsia" w:ascii="仿宋_GB2312" w:hAnsi="宋体" w:eastAsia="仿宋_GB2312" w:cs="宋体"/>
                <w:kern w:val="0"/>
                <w:szCs w:val="21"/>
              </w:rPr>
              <w:t>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，甲苯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，二甲苯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，TVOC</w:t>
            </w:r>
            <w:r>
              <w:rPr>
                <w:rFonts w:hint="eastAsia" w:ascii="仿宋_GB2312" w:hAnsi="宋体" w:eastAsia="仿宋_GB2312" w:cs="宋体"/>
                <w:kern w:val="0"/>
                <w:szCs w:val="21"/>
                <w:lang w:val="en-US" w:eastAsia="zh-CN"/>
              </w:rPr>
              <w:t>平均检测含量为 0.104mg/m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lang w:val="en-US" w:eastAsia="zh-CN"/>
              </w:rPr>
              <w:t xml:space="preserve"> 。均符合国家标准，100%达标。</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8</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8</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289"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2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项目招标、环境采样、出具环境检测报告</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9个月</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仿宋_GB2312" w:hAnsi="宋体" w:cs="宋体" w:eastAsiaTheme="minorEastAsia"/>
                <w:kern w:val="0"/>
                <w:szCs w:val="21"/>
                <w:lang w:val="en-US" w:eastAsia="zh-CN"/>
              </w:rPr>
            </w:pPr>
            <w:r>
              <w:rPr>
                <w:rFonts w:hint="eastAsia" w:ascii="仿宋_GB2312" w:hAnsi="宋体" w:eastAsia="仿宋_GB2312" w:cs="宋体"/>
                <w:kern w:val="0"/>
                <w:szCs w:val="21"/>
                <w:lang w:val="en-US" w:eastAsia="zh-CN"/>
              </w:rPr>
              <w:t>采样及检测共计262天，具体楼宇情况如下：</w:t>
            </w:r>
            <w:r>
              <w:rPr>
                <w:rFonts w:hint="eastAsia" w:ascii="仿宋_GB2312" w:hAnsi="宋体" w:eastAsia="仿宋_GB2312" w:cs="宋体"/>
                <w:kern w:val="0"/>
                <w:szCs w:val="21"/>
                <w:lang w:eastAsia="zh-CN"/>
              </w:rPr>
              <w:t>综合办公楼（立德楼）：采样天数4天，检测天数12天。供暖中心楼：采样天数1天，检测天数3天。教职工活动中心楼：采样天数1天，检测天数3天。科研楼：采样天数6天，检测天数18天。信息楼A/B/C/D座：采样天数12天，检测天数39天。学一公寓楼：采样天数10天，检测天数23天。学四公寓楼：采样天数8天，检测天数18天。学五公寓/留学生楼：采样天数4天，检测天数20天。学六公寓/留学生楼：采样天数2天，检测天数10天。学七公寓楼：采样天数2天，检测天数10天。工训中心：采样天数1天，检测天数5天。保障中心：采样天数1天，检测天数6天。校医院：采样天数3天，检测天数7天。学生发展中心：采样天数2天，检测天数6天。第一食堂：采样天数1天，检测天数3天。体育馆：采样天数1天，检测天数3天</w:t>
            </w:r>
            <w:r>
              <w:rPr>
                <w:rFonts w:hint="eastAsia" w:ascii="仿宋_GB2312" w:hAnsi="宋体" w:eastAsia="仿宋_GB2312" w:cs="宋体"/>
                <w:kern w:val="0"/>
                <w:szCs w:val="21"/>
                <w:lang w:val="en-US" w:eastAsia="zh-CN"/>
              </w:rPr>
              <w:t>。</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5</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3276"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22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kern w:val="0"/>
                <w:szCs w:val="21"/>
              </w:rPr>
            </w:pP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启用区域室内空气环境治理及验收</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9个</w:t>
            </w:r>
            <w:r>
              <w:rPr>
                <w:rFonts w:hint="eastAsia" w:ascii="仿宋_GB2312" w:hAnsi="宋体" w:eastAsia="仿宋_GB2312" w:cs="宋体"/>
                <w:kern w:val="0"/>
                <w:szCs w:val="21"/>
              </w:rPr>
              <w:t>月</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治理及验收共计267天，</w:t>
            </w:r>
            <w:r>
              <w:rPr>
                <w:rFonts w:hint="eastAsia" w:ascii="仿宋_GB2312" w:hAnsi="宋体" w:eastAsia="仿宋_GB2312" w:cs="宋体"/>
                <w:kern w:val="0"/>
                <w:szCs w:val="21"/>
                <w:lang w:eastAsia="zh-CN"/>
              </w:rPr>
              <w:t>综合办公楼（立德楼）、供暖中心楼、教职工活动中心楼、科研楼、</w:t>
            </w:r>
          </w:p>
          <w:p>
            <w:pPr>
              <w:widowControl/>
              <w:jc w:val="left"/>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eastAsia="zh-CN"/>
              </w:rPr>
              <w:t>信息楼A/B/C/D座、学一公寓楼、学四公寓楼、学五公寓/留学生楼、学六公寓/留学生楼、学七公寓楼、工训中心、保障中心、校医院、学生发展中心、第一食堂、体育馆</w:t>
            </w:r>
            <w:r>
              <w:rPr>
                <w:rFonts w:hint="eastAsia" w:ascii="仿宋_GB2312" w:hAnsi="宋体" w:eastAsia="仿宋_GB2312" w:cs="宋体"/>
                <w:kern w:val="0"/>
                <w:szCs w:val="21"/>
                <w:lang w:val="en-US" w:eastAsia="zh-CN"/>
              </w:rPr>
              <w:t>16栋楼宇治理及验收共计267天。</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1027"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成本指标</w:t>
            </w:r>
          </w:p>
        </w:tc>
        <w:tc>
          <w:tcPr>
            <w:tcW w:w="2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经济</w:t>
            </w:r>
            <w:r>
              <w:rPr>
                <w:rFonts w:hint="eastAsia" w:ascii="仿宋_GB2312" w:hAnsi="宋体" w:eastAsia="仿宋_GB2312" w:cs="宋体"/>
                <w:kern w:val="0"/>
                <w:szCs w:val="21"/>
              </w:rPr>
              <w:t>成本指标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项目预算控制数</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292.9500</w:t>
            </w:r>
            <w:r>
              <w:rPr>
                <w:rFonts w:hint="eastAsia" w:ascii="仿宋_GB2312" w:hAnsi="宋体" w:eastAsia="仿宋_GB2312" w:cs="宋体"/>
                <w:kern w:val="0"/>
                <w:szCs w:val="21"/>
                <w:lang w:val="en-US" w:eastAsia="zh-CN"/>
              </w:rPr>
              <w:t>00</w:t>
            </w:r>
            <w:r>
              <w:rPr>
                <w:rFonts w:hint="eastAsia" w:ascii="仿宋_GB2312" w:hAnsi="宋体" w:eastAsia="仿宋_GB2312" w:cs="宋体"/>
                <w:kern w:val="0"/>
                <w:szCs w:val="21"/>
              </w:rPr>
              <w:t>万元</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292.950000 万元</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1949" w:hRule="exact"/>
        </w:trPr>
        <w:tc>
          <w:tcPr>
            <w:tcW w:w="180" w:type="pct"/>
            <w:vMerge w:val="continue"/>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效益指标</w:t>
            </w:r>
          </w:p>
        </w:tc>
        <w:tc>
          <w:tcPr>
            <w:tcW w:w="2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社会效益指标</w:t>
            </w:r>
          </w:p>
        </w:tc>
        <w:tc>
          <w:tcPr>
            <w:tcW w:w="173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有效降解室内空气中有害物存量，确保空气质量合格、达标。使新校区具备安全洁净的环境，可以减少舆情，增加师生满意度。北京市教委、北京信息科技大学关心师生身心健康的社会责任、有效提高社会评价。</w:t>
            </w: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受益</w:t>
            </w:r>
            <w:r>
              <w:rPr>
                <w:rFonts w:hint="eastAsia" w:ascii="仿宋_GB2312" w:hAnsi="宋体" w:eastAsia="仿宋_GB2312" w:cs="宋体"/>
                <w:kern w:val="0"/>
                <w:szCs w:val="21"/>
              </w:rPr>
              <w:t>学生</w:t>
            </w:r>
          </w:p>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4000人/学年，受益教职工</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10</w:t>
            </w:r>
            <w:r>
              <w:rPr>
                <w:rFonts w:hint="eastAsia" w:ascii="仿宋_GB2312" w:hAnsi="宋体" w:eastAsia="仿宋_GB2312" w:cs="宋体"/>
                <w:kern w:val="0"/>
                <w:szCs w:val="21"/>
              </w:rPr>
              <w:t>00人/学年</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lang w:val="en-US" w:eastAsia="zh-CN"/>
              </w:rPr>
              <w:t>共计受益人数：5000人/学年</w:t>
            </w:r>
          </w:p>
        </w:tc>
        <w:tc>
          <w:tcPr>
            <w:tcW w:w="1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受益</w:t>
            </w:r>
            <w:r>
              <w:rPr>
                <w:rFonts w:hint="eastAsia" w:ascii="仿宋_GB2312" w:hAnsi="宋体" w:eastAsia="仿宋_GB2312" w:cs="宋体"/>
                <w:kern w:val="0"/>
                <w:szCs w:val="21"/>
              </w:rPr>
              <w:t>学生</w:t>
            </w:r>
            <w:r>
              <w:rPr>
                <w:rFonts w:hint="eastAsia" w:ascii="仿宋_GB2312" w:hAnsi="宋体" w:eastAsia="仿宋_GB2312" w:cs="宋体"/>
                <w:kern w:val="0"/>
                <w:szCs w:val="21"/>
                <w:lang w:val="en-US" w:eastAsia="zh-CN"/>
              </w:rPr>
              <w:t>7000人/学年；</w:t>
            </w:r>
          </w:p>
          <w:p>
            <w:pPr>
              <w:widowControl/>
              <w:jc w:val="left"/>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受益教职工</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10</w:t>
            </w:r>
            <w:r>
              <w:rPr>
                <w:rFonts w:hint="eastAsia" w:ascii="仿宋_GB2312" w:hAnsi="宋体" w:eastAsia="仿宋_GB2312" w:cs="宋体"/>
                <w:kern w:val="0"/>
                <w:szCs w:val="21"/>
              </w:rPr>
              <w:t>00人/学年</w:t>
            </w:r>
            <w:r>
              <w:rPr>
                <w:rFonts w:hint="eastAsia" w:ascii="仿宋_GB2312" w:hAnsi="宋体" w:eastAsia="仿宋_GB2312" w:cs="宋体"/>
                <w:kern w:val="0"/>
                <w:szCs w:val="21"/>
                <w:lang w:eastAsia="zh-CN"/>
              </w:rPr>
              <w:t>；</w:t>
            </w:r>
          </w:p>
          <w:p>
            <w:pPr>
              <w:widowControl/>
              <w:jc w:val="left"/>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共计受益人数：8000人/学年。</w:t>
            </w:r>
          </w:p>
        </w:tc>
        <w:tc>
          <w:tcPr>
            <w:tcW w:w="2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3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8269" w:hRule="exact"/>
        </w:trPr>
        <w:tc>
          <w:tcPr>
            <w:tcW w:w="180" w:type="pct"/>
            <w:vMerge w:val="continue"/>
            <w:tcBorders>
              <w:top w:val="single" w:color="auto" w:sz="4" w:space="0"/>
              <w:left w:val="single" w:color="auto"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29"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生态效益指标</w:t>
            </w:r>
          </w:p>
        </w:tc>
        <w:tc>
          <w:tcPr>
            <w:tcW w:w="1731" w:type="pct"/>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北京信息科技大学校园新建校舍室内空气质量安全达标</w:t>
            </w:r>
          </w:p>
        </w:tc>
        <w:tc>
          <w:tcPr>
            <w:tcW w:w="438"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低于0.06mg每立方米</w:t>
            </w:r>
          </w:p>
        </w:tc>
        <w:tc>
          <w:tcPr>
            <w:tcW w:w="1120"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立德楼甲醛数据平均是0.032，供暖中心甲醛数据平均是0.020，教工活动中心甲醛数据平均是0.051，科研楼甲醛数据平均是0.024，信息楼A座甲醛数据平均是0.030，信息楼B座甲醛数据平均是0.026，信息楼C座甲醛数据平均是0.027，信息楼D座甲醛数据平均是0.027，学一公寓A座甲醛数据平均是：0.020，学一公寓B座甲醛数据平均是0.021，学四公寓甲醛数据平均是0.020，学五公寓甲醛数据平均是0.018，学六公寓甲醛数据平均是0.018，学七公寓甲醛数据平均是0.018，实践中心甲醛数据平均是0.016，后勤楼甲醛数据平均是0.035，校医院甲醛数据平均是0.028，学生发展中心甲醛数据平均是0.024，一食堂甲醛数据平均是0.025，体育馆甲醛数据平均是0.023。学校最终的甲醛平均数值是：0.0252。符合国家标准。</w:t>
            </w:r>
          </w:p>
        </w:tc>
        <w:tc>
          <w:tcPr>
            <w:tcW w:w="258"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305"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498"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2414" w:hRule="exact"/>
        </w:trPr>
        <w:tc>
          <w:tcPr>
            <w:tcW w:w="180" w:type="pct"/>
            <w:vMerge w:val="continue"/>
            <w:tcBorders>
              <w:top w:val="single" w:color="000000" w:sz="4" w:space="0"/>
              <w:left w:val="single" w:color="auto"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确保未来三年新校区启用区域环境空气质量安全达标。</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低于0.06mg每立方米</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rPr>
              <w:t>甲醛</w:t>
            </w:r>
            <w:r>
              <w:rPr>
                <w:rFonts w:hint="eastAsia" w:ascii="仿宋_GB2312" w:hAnsi="宋体" w:eastAsia="仿宋_GB2312" w:cs="宋体"/>
                <w:kern w:val="0"/>
                <w:szCs w:val="21"/>
                <w:lang w:val="en-US" w:eastAsia="zh-CN"/>
              </w:rPr>
              <w:t>的平均检测含量为0.022</w:t>
            </w:r>
            <w:r>
              <w:rPr>
                <w:rFonts w:hint="eastAsia" w:ascii="仿宋_GB2312" w:hAnsi="宋体" w:eastAsia="仿宋_GB2312" w:cs="宋体"/>
                <w:kern w:val="0"/>
                <w:szCs w:val="21"/>
              </w:rPr>
              <w:t>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，甲苯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，二甲苯</w:t>
            </w:r>
            <w:r>
              <w:rPr>
                <w:rFonts w:hint="eastAsia" w:ascii="仿宋_GB2312" w:hAnsi="宋体" w:eastAsia="仿宋_GB2312" w:cs="宋体"/>
                <w:kern w:val="0"/>
                <w:szCs w:val="21"/>
                <w:lang w:val="en-US" w:eastAsia="zh-CN"/>
              </w:rPr>
              <w:t>平均检测含量为0.01mg/m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rPr>
              <w:t>，TVOC</w:t>
            </w:r>
            <w:r>
              <w:rPr>
                <w:rFonts w:hint="eastAsia" w:ascii="仿宋_GB2312" w:hAnsi="宋体" w:eastAsia="仿宋_GB2312" w:cs="宋体"/>
                <w:kern w:val="0"/>
                <w:szCs w:val="21"/>
                <w:lang w:val="en-US" w:eastAsia="zh-CN"/>
              </w:rPr>
              <w:t>平均检测含量为 0.104mg/m</w:t>
            </w:r>
            <w:r>
              <w:rPr>
                <w:rFonts w:hint="eastAsia" w:ascii="仿宋_GB2312" w:hAnsi="宋体" w:eastAsia="仿宋_GB2312" w:cs="宋体"/>
                <w:kern w:val="0"/>
                <w:szCs w:val="21"/>
                <w:vertAlign w:val="superscript"/>
                <w:lang w:val="en-US" w:eastAsia="zh-CN"/>
              </w:rPr>
              <w:t>3</w:t>
            </w:r>
            <w:r>
              <w:rPr>
                <w:rFonts w:hint="eastAsia" w:ascii="仿宋_GB2312" w:hAnsi="宋体" w:eastAsia="仿宋_GB2312" w:cs="宋体"/>
                <w:kern w:val="0"/>
                <w:szCs w:val="21"/>
                <w:lang w:val="en-US" w:eastAsia="zh-CN"/>
              </w:rPr>
              <w:t xml:space="preserve"> 。均符合国家标准，100%达标。</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10</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567" w:hRule="atLeast"/>
        </w:trPr>
        <w:tc>
          <w:tcPr>
            <w:tcW w:w="180" w:type="pct"/>
            <w:vMerge w:val="continue"/>
            <w:tcBorders>
              <w:top w:val="single" w:color="000000" w:sz="4" w:space="0"/>
              <w:left w:val="single" w:color="auto"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满意度指标</w:t>
            </w:r>
          </w:p>
        </w:tc>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1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学生满意度</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不低于90%</w:t>
            </w:r>
          </w:p>
        </w:tc>
        <w:tc>
          <w:tcPr>
            <w:tcW w:w="11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w:t>
            </w:r>
            <w:r>
              <w:rPr>
                <w:rFonts w:ascii="仿宋_GB2312" w:hAnsi="宋体" w:eastAsia="仿宋_GB2312" w:cs="宋体"/>
                <w:kern w:val="0"/>
                <w:szCs w:val="21"/>
              </w:rPr>
              <w:t>%</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567" w:hRule="atLeast"/>
        </w:trPr>
        <w:tc>
          <w:tcPr>
            <w:tcW w:w="180" w:type="pct"/>
            <w:vMerge w:val="continue"/>
            <w:tcBorders>
              <w:top w:val="single" w:color="000000" w:sz="4" w:space="0"/>
              <w:left w:val="single" w:color="auto" w:sz="4" w:space="0"/>
              <w:bottom w:val="single" w:color="000000" w:sz="4" w:space="0"/>
              <w:right w:val="single" w:color="000000" w:sz="4" w:space="0"/>
            </w:tcBorders>
            <w:shd w:val="clear" w:color="auto" w:fill="auto"/>
            <w:textDirection w:val="tbRlV"/>
            <w:vAlign w:val="center"/>
          </w:tcPr>
          <w:p>
            <w:pPr>
              <w:jc w:val="center"/>
              <w:rPr>
                <w:rFonts w:ascii="仿宋_GB2312" w:hAnsi="宋体" w:eastAsia="仿宋_GB2312" w:cs="宋体"/>
                <w:kern w:val="0"/>
                <w:szCs w:val="21"/>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宋体"/>
                <w:kern w:val="0"/>
                <w:szCs w:val="21"/>
              </w:rPr>
            </w:pPr>
          </w:p>
        </w:tc>
        <w:tc>
          <w:tcPr>
            <w:tcW w:w="1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宋体"/>
                <w:kern w:val="0"/>
                <w:szCs w:val="21"/>
              </w:rPr>
            </w:pPr>
            <w:r>
              <w:rPr>
                <w:rFonts w:hint="eastAsia" w:ascii="仿宋_GB2312" w:hAnsi="宋体" w:eastAsia="仿宋_GB2312" w:cs="宋体"/>
                <w:kern w:val="0"/>
                <w:szCs w:val="21"/>
              </w:rPr>
              <w:t>教职工满意度</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rPr>
              <w:t>不低于90%</w:t>
            </w:r>
          </w:p>
        </w:tc>
        <w:tc>
          <w:tcPr>
            <w:tcW w:w="112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99</w:t>
            </w:r>
            <w:r>
              <w:rPr>
                <w:rFonts w:ascii="仿宋_GB2312" w:hAnsi="宋体" w:eastAsia="仿宋_GB2312" w:cs="宋体"/>
                <w:kern w:val="0"/>
                <w:szCs w:val="21"/>
              </w:rPr>
              <w:t>%</w:t>
            </w:r>
          </w:p>
        </w:tc>
        <w:tc>
          <w:tcPr>
            <w:tcW w:w="25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宋体"/>
                <w:kern w:val="0"/>
                <w:szCs w:val="21"/>
              </w:rPr>
            </w:pPr>
            <w:r>
              <w:rPr>
                <w:rFonts w:ascii="仿宋_GB2312" w:hAnsi="宋体" w:eastAsia="仿宋_GB2312" w:cs="宋体"/>
                <w:kern w:val="0"/>
                <w:szCs w:val="21"/>
              </w:rPr>
              <w:t>5</w:t>
            </w:r>
          </w:p>
        </w:tc>
        <w:tc>
          <w:tcPr>
            <w:tcW w:w="30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5</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无</w:t>
            </w:r>
          </w:p>
        </w:tc>
      </w:tr>
      <w:tr>
        <w:tblPrEx>
          <w:tblCellMar>
            <w:top w:w="0" w:type="dxa"/>
            <w:left w:w="108" w:type="dxa"/>
            <w:bottom w:w="0" w:type="dxa"/>
            <w:right w:w="108" w:type="dxa"/>
          </w:tblCellMar>
        </w:tblPrEx>
        <w:trPr>
          <w:trHeight w:val="567" w:hRule="exact"/>
        </w:trPr>
        <w:tc>
          <w:tcPr>
            <w:tcW w:w="393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总分</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100.00</w:t>
            </w:r>
          </w:p>
        </w:tc>
        <w:tc>
          <w:tcPr>
            <w:tcW w:w="4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Cs w:val="21"/>
              </w:rPr>
            </w:pP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1M2QwYjNhNTk5MjZhMDQzOThjMGY1M2MwZTczYTQifQ=="/>
  </w:docVars>
  <w:rsids>
    <w:rsidRoot w:val="00000000"/>
    <w:rsid w:val="093A425C"/>
    <w:rsid w:val="0AC37B46"/>
    <w:rsid w:val="0B3B56B4"/>
    <w:rsid w:val="0C874787"/>
    <w:rsid w:val="10457E0D"/>
    <w:rsid w:val="125B54F8"/>
    <w:rsid w:val="147A33E6"/>
    <w:rsid w:val="161F4D30"/>
    <w:rsid w:val="196D5871"/>
    <w:rsid w:val="22FB44AF"/>
    <w:rsid w:val="29430E8F"/>
    <w:rsid w:val="30EE254F"/>
    <w:rsid w:val="35CE1E6A"/>
    <w:rsid w:val="38795DA8"/>
    <w:rsid w:val="3ED1481E"/>
    <w:rsid w:val="47E4074E"/>
    <w:rsid w:val="52C360E1"/>
    <w:rsid w:val="58CA0141"/>
    <w:rsid w:val="5C531024"/>
    <w:rsid w:val="5F513888"/>
    <w:rsid w:val="5FB15F0C"/>
    <w:rsid w:val="645A7200"/>
    <w:rsid w:val="694B1FC8"/>
    <w:rsid w:val="6CA73DE9"/>
    <w:rsid w:val="6E3520EB"/>
    <w:rsid w:val="705547D9"/>
    <w:rsid w:val="7214209F"/>
    <w:rsid w:val="7F101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HP</dc:creator>
  <cp:lastModifiedBy>微信用户</cp:lastModifiedBy>
  <dcterms:modified xsi:type="dcterms:W3CDTF">2024-05-17T05:09:38Z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0CDDBC7C7A9A4EE1A997D94967E3EC4E</vt:lpwstr>
  </property>
</Properties>
</file>