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hint="eastAsia" w:ascii="方正小标宋简体" w:hAnsi="黑体" w:eastAsia="方正小标宋简体"/>
          <w:sz w:val="36"/>
          <w:szCs w:val="36"/>
        </w:rPr>
      </w:pPr>
      <w:r>
        <w:rPr>
          <w:rFonts w:hint="eastAsia" w:ascii="方正小标宋简体" w:hAnsi="方正小标宋简体" w:eastAsia="方正小标宋简体" w:cs="方正小标宋简体"/>
          <w:sz w:val="36"/>
          <w:szCs w:val="36"/>
        </w:rPr>
        <w:t>项目支出绩效自评表</w:t>
      </w:r>
    </w:p>
    <w:p>
      <w:pPr>
        <w:spacing w:line="480" w:lineRule="exact"/>
        <w:jc w:val="center"/>
        <w:rPr>
          <w:rFonts w:ascii="仿宋_GB2312" w:hAnsi="宋体" w:eastAsia="仿宋_GB2312"/>
          <w:sz w:val="28"/>
          <w:szCs w:val="28"/>
        </w:rPr>
      </w:pPr>
      <w:r>
        <w:rPr>
          <w:rFonts w:hint="eastAsia" w:ascii="仿宋_GB2312" w:hAnsi="宋体" w:eastAsia="仿宋_GB2312"/>
          <w:sz w:val="28"/>
          <w:szCs w:val="28"/>
        </w:rPr>
        <w:t>（ 202</w:t>
      </w:r>
      <w:r>
        <w:rPr>
          <w:rFonts w:hint="eastAsia" w:ascii="仿宋_GB2312" w:hAnsi="宋体" w:eastAsia="仿宋_GB2312"/>
          <w:sz w:val="28"/>
          <w:szCs w:val="28"/>
          <w:lang w:val="en-US" w:eastAsia="zh-CN"/>
        </w:rPr>
        <w:t>3</w:t>
      </w:r>
      <w:r>
        <w:rPr>
          <w:rFonts w:hint="eastAsia" w:ascii="仿宋_GB2312" w:hAnsi="宋体" w:eastAsia="仿宋_GB2312"/>
          <w:sz w:val="28"/>
          <w:szCs w:val="28"/>
        </w:rPr>
        <w:t xml:space="preserve"> 年度）</w:t>
      </w:r>
    </w:p>
    <w:tbl>
      <w:tblPr>
        <w:tblStyle w:val="4"/>
        <w:tblW w:w="13981" w:type="dxa"/>
        <w:jc w:val="center"/>
        <w:tblLayout w:type="fixed"/>
        <w:tblCellMar>
          <w:top w:w="0" w:type="dxa"/>
          <w:left w:w="108" w:type="dxa"/>
          <w:bottom w:w="0" w:type="dxa"/>
          <w:right w:w="108" w:type="dxa"/>
        </w:tblCellMar>
      </w:tblPr>
      <w:tblGrid>
        <w:gridCol w:w="470"/>
        <w:gridCol w:w="786"/>
        <w:gridCol w:w="720"/>
        <w:gridCol w:w="2649"/>
        <w:gridCol w:w="1635"/>
        <w:gridCol w:w="1710"/>
        <w:gridCol w:w="1845"/>
        <w:gridCol w:w="247"/>
        <w:gridCol w:w="1148"/>
        <w:gridCol w:w="60"/>
        <w:gridCol w:w="1012"/>
        <w:gridCol w:w="309"/>
        <w:gridCol w:w="1390"/>
      </w:tblGrid>
      <w:tr>
        <w:tblPrEx>
          <w:tblCellMar>
            <w:top w:w="0" w:type="dxa"/>
            <w:left w:w="108" w:type="dxa"/>
            <w:bottom w:w="0" w:type="dxa"/>
            <w:right w:w="108" w:type="dxa"/>
          </w:tblCellMar>
        </w:tblPrEx>
        <w:trPr>
          <w:trHeight w:val="567" w:hRule="atLeast"/>
          <w:jc w:val="center"/>
        </w:trPr>
        <w:tc>
          <w:tcPr>
            <w:tcW w:w="1256"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项目名称</w:t>
            </w:r>
          </w:p>
        </w:tc>
        <w:tc>
          <w:tcPr>
            <w:tcW w:w="12725" w:type="dxa"/>
            <w:gridSpan w:val="11"/>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改善办学保障条件-北京信息科技大学新校区—公共管理与传媒学院实践教学中心建设（新竣工楼配套）</w:t>
            </w:r>
          </w:p>
        </w:tc>
      </w:tr>
      <w:tr>
        <w:tblPrEx>
          <w:tblCellMar>
            <w:top w:w="0" w:type="dxa"/>
            <w:left w:w="108" w:type="dxa"/>
            <w:bottom w:w="0" w:type="dxa"/>
            <w:right w:w="108" w:type="dxa"/>
          </w:tblCellMar>
        </w:tblPrEx>
        <w:trPr>
          <w:trHeight w:val="567" w:hRule="atLeast"/>
          <w:jc w:val="center"/>
        </w:trPr>
        <w:tc>
          <w:tcPr>
            <w:tcW w:w="1256"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主管部门</w:t>
            </w:r>
          </w:p>
        </w:tc>
        <w:tc>
          <w:tcPr>
            <w:tcW w:w="6714"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北京市教育委员会</w:t>
            </w:r>
          </w:p>
        </w:tc>
        <w:tc>
          <w:tcPr>
            <w:tcW w:w="184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实施单位</w:t>
            </w:r>
          </w:p>
        </w:tc>
        <w:tc>
          <w:tcPr>
            <w:tcW w:w="4166" w:type="dxa"/>
            <w:gridSpan w:val="6"/>
            <w:tcBorders>
              <w:top w:val="single" w:color="auto" w:sz="4" w:space="0"/>
              <w:left w:val="nil"/>
              <w:bottom w:val="single" w:color="auto" w:sz="4" w:space="0"/>
              <w:right w:val="single" w:color="auto" w:sz="4" w:space="0"/>
            </w:tcBorders>
            <w:noWrap w:val="0"/>
            <w:vAlign w:val="center"/>
          </w:tcPr>
          <w:p>
            <w:pPr>
              <w:widowControl/>
              <w:tabs>
                <w:tab w:val="left" w:pos="328"/>
              </w:tabs>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北京信息科技大学</w:t>
            </w:r>
          </w:p>
        </w:tc>
      </w:tr>
      <w:tr>
        <w:tblPrEx>
          <w:tblCellMar>
            <w:top w:w="0" w:type="dxa"/>
            <w:left w:w="108" w:type="dxa"/>
            <w:bottom w:w="0" w:type="dxa"/>
            <w:right w:w="108" w:type="dxa"/>
          </w:tblCellMar>
        </w:tblPrEx>
        <w:trPr>
          <w:trHeight w:val="567" w:hRule="atLeast"/>
          <w:jc w:val="center"/>
        </w:trPr>
        <w:tc>
          <w:tcPr>
            <w:tcW w:w="1256"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项目负责人</w:t>
            </w:r>
          </w:p>
        </w:tc>
        <w:tc>
          <w:tcPr>
            <w:tcW w:w="6714"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伊强</w:t>
            </w:r>
          </w:p>
        </w:tc>
        <w:tc>
          <w:tcPr>
            <w:tcW w:w="184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联系电话</w:t>
            </w:r>
          </w:p>
        </w:tc>
        <w:tc>
          <w:tcPr>
            <w:tcW w:w="4166"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ascii="仿宋_GB2312" w:hAnsi="宋体" w:eastAsia="仿宋_GB2312" w:cs="宋体"/>
                <w:kern w:val="0"/>
                <w:szCs w:val="21"/>
              </w:rPr>
              <w:t>13520208364</w:t>
            </w:r>
          </w:p>
        </w:tc>
      </w:tr>
      <w:tr>
        <w:tblPrEx>
          <w:tblCellMar>
            <w:top w:w="0" w:type="dxa"/>
            <w:left w:w="108" w:type="dxa"/>
            <w:bottom w:w="0" w:type="dxa"/>
            <w:right w:w="108" w:type="dxa"/>
          </w:tblCellMar>
        </w:tblPrEx>
        <w:trPr>
          <w:trHeight w:val="567" w:hRule="atLeast"/>
          <w:jc w:val="center"/>
        </w:trPr>
        <w:tc>
          <w:tcPr>
            <w:tcW w:w="1256"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项目资金</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（万元）</w:t>
            </w:r>
          </w:p>
        </w:tc>
        <w:tc>
          <w:tcPr>
            <w:tcW w:w="336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163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年初</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预算数</w:t>
            </w:r>
          </w:p>
        </w:tc>
        <w:tc>
          <w:tcPr>
            <w:tcW w:w="171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全年</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预算数</w:t>
            </w:r>
          </w:p>
        </w:tc>
        <w:tc>
          <w:tcPr>
            <w:tcW w:w="1845"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w:t>
            </w:r>
          </w:p>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执行数</w:t>
            </w:r>
          </w:p>
        </w:tc>
        <w:tc>
          <w:tcPr>
            <w:tcW w:w="1455" w:type="dxa"/>
            <w:gridSpan w:val="3"/>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分值</w:t>
            </w:r>
          </w:p>
        </w:tc>
        <w:tc>
          <w:tcPr>
            <w:tcW w:w="132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执行率</w:t>
            </w:r>
          </w:p>
        </w:tc>
        <w:tc>
          <w:tcPr>
            <w:tcW w:w="139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得分</w:t>
            </w:r>
          </w:p>
        </w:tc>
      </w:tr>
      <w:tr>
        <w:tblPrEx>
          <w:tblCellMar>
            <w:top w:w="0" w:type="dxa"/>
            <w:left w:w="108" w:type="dxa"/>
            <w:bottom w:w="0" w:type="dxa"/>
            <w:right w:w="108" w:type="dxa"/>
          </w:tblCellMar>
        </w:tblPrEx>
        <w:trPr>
          <w:trHeight w:val="567" w:hRule="atLeast"/>
          <w:jc w:val="center"/>
        </w:trPr>
        <w:tc>
          <w:tcPr>
            <w:tcW w:w="1256"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336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rPr>
                <w:rFonts w:hint="eastAsia" w:ascii="仿宋_GB2312" w:hAnsi="宋体" w:eastAsia="仿宋_GB2312" w:cs="宋体"/>
                <w:kern w:val="0"/>
                <w:szCs w:val="21"/>
              </w:rPr>
            </w:pPr>
            <w:r>
              <w:rPr>
                <w:rFonts w:hint="eastAsia" w:ascii="仿宋_GB2312" w:hAnsi="宋体" w:eastAsia="仿宋_GB2312" w:cs="宋体"/>
                <w:kern w:val="0"/>
                <w:szCs w:val="21"/>
              </w:rPr>
              <w:t>年度资金总额</w:t>
            </w:r>
          </w:p>
        </w:tc>
        <w:tc>
          <w:tcPr>
            <w:tcW w:w="1635"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7</w:t>
            </w:r>
            <w:r>
              <w:rPr>
                <w:rFonts w:ascii="仿宋_GB2312" w:hAnsi="宋体" w:eastAsia="仿宋_GB2312" w:cs="宋体"/>
                <w:kern w:val="0"/>
                <w:szCs w:val="21"/>
              </w:rPr>
              <w:t>76</w:t>
            </w:r>
            <w:r>
              <w:rPr>
                <w:rFonts w:hint="eastAsia" w:ascii="仿宋_GB2312" w:hAnsi="宋体" w:eastAsia="仿宋_GB2312" w:cs="宋体"/>
                <w:kern w:val="0"/>
                <w:szCs w:val="21"/>
              </w:rPr>
              <w:t>.000000</w:t>
            </w:r>
          </w:p>
        </w:tc>
        <w:tc>
          <w:tcPr>
            <w:tcW w:w="171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7</w:t>
            </w:r>
            <w:r>
              <w:rPr>
                <w:rFonts w:ascii="仿宋_GB2312" w:hAnsi="宋体" w:eastAsia="仿宋_GB2312" w:cs="宋体"/>
                <w:kern w:val="0"/>
                <w:szCs w:val="21"/>
              </w:rPr>
              <w:t>76</w:t>
            </w:r>
            <w:r>
              <w:rPr>
                <w:rFonts w:hint="eastAsia" w:ascii="仿宋_GB2312" w:hAnsi="宋体" w:eastAsia="仿宋_GB2312" w:cs="宋体"/>
                <w:kern w:val="0"/>
                <w:szCs w:val="21"/>
              </w:rPr>
              <w:t>.000000</w:t>
            </w:r>
          </w:p>
        </w:tc>
        <w:tc>
          <w:tcPr>
            <w:tcW w:w="184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775.459740</w:t>
            </w:r>
          </w:p>
        </w:tc>
        <w:tc>
          <w:tcPr>
            <w:tcW w:w="1455" w:type="dxa"/>
            <w:gridSpan w:val="3"/>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10</w:t>
            </w:r>
          </w:p>
        </w:tc>
        <w:tc>
          <w:tcPr>
            <w:tcW w:w="132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99.93%</w:t>
            </w:r>
          </w:p>
        </w:tc>
        <w:tc>
          <w:tcPr>
            <w:tcW w:w="1390"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9.99</w:t>
            </w:r>
          </w:p>
        </w:tc>
      </w:tr>
      <w:tr>
        <w:tblPrEx>
          <w:tblCellMar>
            <w:top w:w="0" w:type="dxa"/>
            <w:left w:w="108" w:type="dxa"/>
            <w:bottom w:w="0" w:type="dxa"/>
            <w:right w:w="108" w:type="dxa"/>
          </w:tblCellMar>
        </w:tblPrEx>
        <w:trPr>
          <w:trHeight w:val="567" w:hRule="atLeast"/>
          <w:jc w:val="center"/>
        </w:trPr>
        <w:tc>
          <w:tcPr>
            <w:tcW w:w="1256"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336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其中：当年财政</w:t>
            </w:r>
          </w:p>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拨款</w:t>
            </w:r>
          </w:p>
        </w:tc>
        <w:tc>
          <w:tcPr>
            <w:tcW w:w="163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7</w:t>
            </w:r>
            <w:r>
              <w:rPr>
                <w:rFonts w:ascii="仿宋_GB2312" w:hAnsi="宋体" w:eastAsia="仿宋_GB2312" w:cs="宋体"/>
                <w:kern w:val="0"/>
                <w:szCs w:val="21"/>
              </w:rPr>
              <w:t>76</w:t>
            </w:r>
            <w:r>
              <w:rPr>
                <w:rFonts w:hint="eastAsia" w:ascii="仿宋_GB2312" w:hAnsi="宋体" w:eastAsia="仿宋_GB2312" w:cs="宋体"/>
                <w:kern w:val="0"/>
                <w:szCs w:val="21"/>
              </w:rPr>
              <w:t>.000000</w:t>
            </w:r>
          </w:p>
        </w:tc>
        <w:tc>
          <w:tcPr>
            <w:tcW w:w="171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7</w:t>
            </w:r>
            <w:r>
              <w:rPr>
                <w:rFonts w:ascii="仿宋_GB2312" w:hAnsi="宋体" w:eastAsia="仿宋_GB2312" w:cs="宋体"/>
                <w:kern w:val="0"/>
                <w:szCs w:val="21"/>
              </w:rPr>
              <w:t>76</w:t>
            </w:r>
            <w:r>
              <w:rPr>
                <w:rFonts w:hint="eastAsia" w:ascii="仿宋_GB2312" w:hAnsi="宋体" w:eastAsia="仿宋_GB2312" w:cs="宋体"/>
                <w:kern w:val="0"/>
                <w:szCs w:val="21"/>
              </w:rPr>
              <w:t>.000000</w:t>
            </w:r>
          </w:p>
        </w:tc>
        <w:tc>
          <w:tcPr>
            <w:tcW w:w="184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775.459740</w:t>
            </w:r>
          </w:p>
        </w:tc>
        <w:tc>
          <w:tcPr>
            <w:tcW w:w="1455" w:type="dxa"/>
            <w:gridSpan w:val="3"/>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132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139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67" w:hRule="exact"/>
          <w:jc w:val="center"/>
        </w:trPr>
        <w:tc>
          <w:tcPr>
            <w:tcW w:w="1256"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336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 xml:space="preserve">      上年结转资金</w:t>
            </w:r>
          </w:p>
        </w:tc>
        <w:tc>
          <w:tcPr>
            <w:tcW w:w="163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171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184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1455" w:type="dxa"/>
            <w:gridSpan w:val="3"/>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132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139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67" w:hRule="exact"/>
          <w:jc w:val="center"/>
        </w:trPr>
        <w:tc>
          <w:tcPr>
            <w:tcW w:w="1256"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336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 xml:space="preserve">  其他资金</w:t>
            </w:r>
          </w:p>
        </w:tc>
        <w:tc>
          <w:tcPr>
            <w:tcW w:w="163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171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184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1455" w:type="dxa"/>
            <w:gridSpan w:val="3"/>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132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139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1798" w:hRule="exact"/>
          <w:jc w:val="center"/>
        </w:trPr>
        <w:tc>
          <w:tcPr>
            <w:tcW w:w="47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年度总体目标</w:t>
            </w:r>
          </w:p>
        </w:tc>
        <w:tc>
          <w:tcPr>
            <w:tcW w:w="7500" w:type="dxa"/>
            <w:gridSpan w:val="5"/>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预期目标</w:t>
            </w:r>
          </w:p>
        </w:tc>
        <w:tc>
          <w:tcPr>
            <w:tcW w:w="6011"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实际完成情况</w:t>
            </w:r>
          </w:p>
        </w:tc>
      </w:tr>
      <w:tr>
        <w:tblPrEx>
          <w:tblCellMar>
            <w:top w:w="0" w:type="dxa"/>
            <w:left w:w="108" w:type="dxa"/>
            <w:bottom w:w="0" w:type="dxa"/>
            <w:right w:w="108" w:type="dxa"/>
          </w:tblCellMar>
        </w:tblPrEx>
        <w:trPr>
          <w:trHeight w:val="2338" w:hRule="exact"/>
          <w:jc w:val="center"/>
        </w:trPr>
        <w:tc>
          <w:tcPr>
            <w:tcW w:w="47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7500" w:type="dxa"/>
            <w:gridSpan w:val="5"/>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kern w:val="0"/>
                <w:szCs w:val="21"/>
              </w:rPr>
            </w:pPr>
            <w:r>
              <w:rPr>
                <w:rFonts w:hint="eastAsia" w:ascii="仿宋_GB2312" w:hAnsi="宋体" w:eastAsia="仿宋_GB2312" w:cs="宋体"/>
                <w:kern w:val="0"/>
                <w:szCs w:val="21"/>
              </w:rPr>
              <w:t>目标1：建设并完善有特色的新校区实践教学中心，让更多的学生都能享受到信息化技术手段带来的全新的教学方式。通过最新的融媒体技术、影视后期制作、数字录音等实验室建设项目，让更多的学生享受和共享这些资源，达到实训实践的目的，实现学校课程建设的目标。</w:t>
            </w:r>
          </w:p>
          <w:p>
            <w:pPr>
              <w:widowControl/>
              <w:spacing w:line="240" w:lineRule="exact"/>
              <w:jc w:val="left"/>
              <w:rPr>
                <w:rFonts w:hint="eastAsia" w:ascii="仿宋_GB2312" w:hAnsi="宋体" w:eastAsia="仿宋_GB2312" w:cs="宋体"/>
                <w:kern w:val="0"/>
                <w:szCs w:val="21"/>
              </w:rPr>
            </w:pPr>
            <w:r>
              <w:rPr>
                <w:rFonts w:hint="eastAsia" w:ascii="仿宋_GB2312" w:hAnsi="宋体" w:eastAsia="仿宋_GB2312" w:cs="宋体"/>
                <w:kern w:val="0"/>
                <w:szCs w:val="21"/>
              </w:rPr>
              <w:t>目标2：以建一流学科、育一流人才”为发展目标，提升课程优越性及公管传媒专业的竞争力，培养信息人才和传媒人才相结合的全面人才，提升学生的就业机会。同时为社会提供更多的新技术人才和为国家做出更多的贡献。</w:t>
            </w:r>
          </w:p>
        </w:tc>
        <w:tc>
          <w:tcPr>
            <w:tcW w:w="6011"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完成建设</w:t>
            </w:r>
            <w:r>
              <w:rPr>
                <w:rFonts w:ascii="仿宋_GB2312" w:hAnsi="宋体" w:eastAsia="仿宋_GB2312" w:cs="宋体"/>
                <w:kern w:val="0"/>
                <w:szCs w:val="21"/>
              </w:rPr>
              <w:t>5</w:t>
            </w:r>
            <w:r>
              <w:rPr>
                <w:rFonts w:hint="eastAsia" w:ascii="仿宋_GB2312" w:hAnsi="宋体" w:eastAsia="仿宋_GB2312" w:cs="宋体"/>
                <w:kern w:val="0"/>
                <w:szCs w:val="21"/>
              </w:rPr>
              <w:t>间实验室及配套设施，为公共管理与传媒学院教学、科研、管理提供数字化平台，为学校、广大师生提供更加优良、优质的服务。公共管理与传媒学院实践教学中心的建设实现了信息共享、资源利旧、全局统一管理等功能，让师生的教育、教学工作以及日常生活更为便捷，更为有效，提升了高等教育教学水平，为打造新时代人才奠定坚实基础。</w:t>
            </w:r>
          </w:p>
        </w:tc>
      </w:tr>
      <w:tr>
        <w:tblPrEx>
          <w:tblCellMar>
            <w:top w:w="0" w:type="dxa"/>
            <w:left w:w="108" w:type="dxa"/>
            <w:bottom w:w="0" w:type="dxa"/>
            <w:right w:w="108" w:type="dxa"/>
          </w:tblCellMar>
        </w:tblPrEx>
        <w:trPr>
          <w:trHeight w:val="830" w:hRule="exact"/>
          <w:jc w:val="center"/>
        </w:trPr>
        <w:tc>
          <w:tcPr>
            <w:tcW w:w="47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绩</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效</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指</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标</w:t>
            </w:r>
          </w:p>
        </w:tc>
        <w:tc>
          <w:tcPr>
            <w:tcW w:w="78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一级指标</w:t>
            </w:r>
          </w:p>
        </w:tc>
        <w:tc>
          <w:tcPr>
            <w:tcW w:w="7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二级指标</w:t>
            </w:r>
          </w:p>
        </w:tc>
        <w:tc>
          <w:tcPr>
            <w:tcW w:w="264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三级指标</w:t>
            </w:r>
          </w:p>
        </w:tc>
        <w:tc>
          <w:tcPr>
            <w:tcW w:w="334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年度</w:t>
            </w:r>
          </w:p>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指标值</w:t>
            </w:r>
          </w:p>
        </w:tc>
        <w:tc>
          <w:tcPr>
            <w:tcW w:w="2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实际</w:t>
            </w:r>
          </w:p>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完成值</w:t>
            </w:r>
          </w:p>
        </w:tc>
        <w:tc>
          <w:tcPr>
            <w:tcW w:w="114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分值</w:t>
            </w:r>
          </w:p>
        </w:tc>
        <w:tc>
          <w:tcPr>
            <w:tcW w:w="107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得分</w:t>
            </w:r>
          </w:p>
        </w:tc>
        <w:tc>
          <w:tcPr>
            <w:tcW w:w="1699"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偏差原因分析及改进</w:t>
            </w:r>
          </w:p>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措施</w:t>
            </w:r>
          </w:p>
        </w:tc>
      </w:tr>
      <w:tr>
        <w:tblPrEx>
          <w:tblCellMar>
            <w:top w:w="0" w:type="dxa"/>
            <w:left w:w="108" w:type="dxa"/>
            <w:bottom w:w="0" w:type="dxa"/>
            <w:right w:w="108" w:type="dxa"/>
          </w:tblCellMar>
        </w:tblPrEx>
        <w:trPr>
          <w:trHeight w:val="3635" w:hRule="exact"/>
          <w:jc w:val="center"/>
        </w:trPr>
        <w:tc>
          <w:tcPr>
            <w:tcW w:w="47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786"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产出指标</w:t>
            </w:r>
          </w:p>
        </w:tc>
        <w:tc>
          <w:tcPr>
            <w:tcW w:w="72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数量指标</w:t>
            </w:r>
          </w:p>
        </w:tc>
        <w:tc>
          <w:tcPr>
            <w:tcW w:w="264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kern w:val="0"/>
                <w:szCs w:val="21"/>
              </w:rPr>
            </w:pPr>
            <w:r>
              <w:rPr>
                <w:rFonts w:hint="eastAsia" w:ascii="仿宋_GB2312" w:hAnsi="宋体" w:eastAsia="仿宋_GB2312" w:cs="宋体"/>
                <w:kern w:val="0"/>
                <w:szCs w:val="21"/>
              </w:rPr>
              <w:t>实验室数量、面积与新增设备数量</w:t>
            </w:r>
          </w:p>
        </w:tc>
        <w:tc>
          <w:tcPr>
            <w:tcW w:w="334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rPr>
                <w:rFonts w:hint="eastAsia" w:ascii="仿宋_GB2312" w:hAnsi="宋体" w:eastAsia="仿宋_GB2312" w:cs="宋体"/>
                <w:kern w:val="0"/>
                <w:szCs w:val="21"/>
              </w:rPr>
            </w:pPr>
            <w:r>
              <w:rPr>
                <w:rFonts w:hint="eastAsia" w:ascii="仿宋_GB2312" w:hAnsi="宋体" w:eastAsia="仿宋_GB2312" w:cs="宋体"/>
                <w:kern w:val="0"/>
                <w:szCs w:val="21"/>
              </w:rPr>
              <w:t>一、在新校区中建设公共管理与传媒学院综合实践教学中心，包含5个实验室，建设总面积640平米。具体如下：</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1、270平米左右的融媒体演播室</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2、78平米左右的对白录音棚</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3、100平米左右的音乐录音棚</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4、120平米电子政务实训机房教室</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5、80平米影视后期实训机房</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二、预计新增设备台套数量370左右</w:t>
            </w:r>
          </w:p>
        </w:tc>
        <w:tc>
          <w:tcPr>
            <w:tcW w:w="2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5个实验室，面积6</w:t>
            </w:r>
            <w:r>
              <w:rPr>
                <w:rFonts w:ascii="仿宋_GB2312" w:hAnsi="宋体" w:eastAsia="仿宋_GB2312" w:cs="宋体"/>
                <w:kern w:val="0"/>
                <w:szCs w:val="21"/>
              </w:rPr>
              <w:t>40</w:t>
            </w:r>
            <w:r>
              <w:rPr>
                <w:rFonts w:hint="eastAsia" w:ascii="仿宋_GB2312" w:hAnsi="宋体" w:eastAsia="仿宋_GB2312" w:cs="宋体"/>
                <w:kern w:val="0"/>
                <w:szCs w:val="21"/>
              </w:rPr>
              <w:t>平米；设备</w:t>
            </w:r>
          </w:p>
          <w:p>
            <w:pPr>
              <w:widowControl/>
              <w:spacing w:line="240" w:lineRule="exact"/>
              <w:rPr>
                <w:rFonts w:hint="eastAsia" w:ascii="仿宋_GB2312" w:hAnsi="宋体" w:eastAsia="仿宋_GB2312" w:cs="宋体"/>
                <w:kern w:val="0"/>
                <w:szCs w:val="21"/>
              </w:rPr>
            </w:pPr>
            <w:r>
              <w:rPr>
                <w:rFonts w:hint="eastAsia" w:ascii="仿宋_GB2312" w:hAnsi="宋体" w:eastAsia="仿宋_GB2312" w:cs="宋体"/>
                <w:kern w:val="0"/>
                <w:szCs w:val="21"/>
              </w:rPr>
              <w:t>3</w:t>
            </w:r>
            <w:r>
              <w:rPr>
                <w:rFonts w:ascii="仿宋_GB2312" w:hAnsi="宋体" w:eastAsia="仿宋_GB2312" w:cs="宋体"/>
                <w:kern w:val="0"/>
                <w:szCs w:val="21"/>
              </w:rPr>
              <w:t>70</w:t>
            </w:r>
            <w:r>
              <w:rPr>
                <w:rFonts w:hint="eastAsia" w:ascii="仿宋_GB2312" w:hAnsi="宋体" w:eastAsia="仿宋_GB2312" w:cs="宋体"/>
                <w:kern w:val="0"/>
                <w:szCs w:val="21"/>
              </w:rPr>
              <w:t>台套。</w:t>
            </w:r>
          </w:p>
        </w:tc>
        <w:tc>
          <w:tcPr>
            <w:tcW w:w="114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7.5</w:t>
            </w:r>
          </w:p>
        </w:tc>
        <w:tc>
          <w:tcPr>
            <w:tcW w:w="107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7.5</w:t>
            </w:r>
          </w:p>
        </w:tc>
        <w:tc>
          <w:tcPr>
            <w:tcW w:w="1699"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无</w:t>
            </w:r>
          </w:p>
        </w:tc>
      </w:tr>
      <w:tr>
        <w:tblPrEx>
          <w:tblCellMar>
            <w:top w:w="0" w:type="dxa"/>
            <w:left w:w="108" w:type="dxa"/>
            <w:bottom w:w="0" w:type="dxa"/>
            <w:right w:w="108" w:type="dxa"/>
          </w:tblCellMar>
        </w:tblPrEx>
        <w:trPr>
          <w:trHeight w:val="2834" w:hRule="exact"/>
          <w:jc w:val="center"/>
        </w:trPr>
        <w:tc>
          <w:tcPr>
            <w:tcW w:w="47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78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7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264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color w:val="000000"/>
                <w:kern w:val="0"/>
                <w:szCs w:val="21"/>
              </w:rPr>
            </w:pPr>
            <w:r>
              <w:rPr>
                <w:rFonts w:hint="eastAsia" w:ascii="仿宋_GB2312" w:hAnsi="宋体" w:eastAsia="仿宋_GB2312" w:cs="宋体"/>
                <w:kern w:val="0"/>
                <w:szCs w:val="21"/>
              </w:rPr>
              <w:t>教学与科研的服务数量</w:t>
            </w:r>
          </w:p>
        </w:tc>
        <w:tc>
          <w:tcPr>
            <w:tcW w:w="334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rPr>
                <w:rFonts w:hint="eastAsia" w:ascii="仿宋_GB2312" w:hAnsi="宋体" w:eastAsia="仿宋_GB2312" w:cs="宋体"/>
                <w:kern w:val="0"/>
                <w:szCs w:val="21"/>
              </w:rPr>
            </w:pPr>
            <w:r>
              <w:rPr>
                <w:rFonts w:hint="eastAsia" w:ascii="仿宋_GB2312" w:hAnsi="宋体" w:eastAsia="仿宋_GB2312" w:cs="宋体"/>
                <w:kern w:val="0"/>
                <w:szCs w:val="21"/>
              </w:rPr>
              <w:t>1、承担学院每年50余门的教学实验，为学院所有本科生（约500人）和研究生（约20人）提供实验教学场所与设备。</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2、为学院科研提供场地与设备支持。</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3、为全校12000余名师生他提供开放实验与文化建设活动方面的支持。</w:t>
            </w:r>
          </w:p>
        </w:tc>
        <w:tc>
          <w:tcPr>
            <w:tcW w:w="2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rPr>
                <w:rFonts w:hint="eastAsia" w:ascii="仿宋_GB2312" w:hAnsi="宋体" w:eastAsia="仿宋_GB2312" w:cs="宋体"/>
                <w:kern w:val="0"/>
                <w:szCs w:val="21"/>
              </w:rPr>
            </w:pPr>
            <w:r>
              <w:rPr>
                <w:rFonts w:ascii="仿宋_GB2312" w:hAnsi="宋体" w:eastAsia="仿宋_GB2312" w:cs="宋体"/>
                <w:kern w:val="0"/>
                <w:szCs w:val="21"/>
              </w:rPr>
              <w:t>52</w:t>
            </w:r>
            <w:r>
              <w:rPr>
                <w:rFonts w:hint="eastAsia" w:ascii="仿宋_GB2312" w:hAnsi="宋体" w:eastAsia="仿宋_GB2312" w:cs="宋体"/>
                <w:kern w:val="0"/>
                <w:szCs w:val="21"/>
              </w:rPr>
              <w:t>门，6</w:t>
            </w:r>
            <w:r>
              <w:rPr>
                <w:rFonts w:ascii="仿宋_GB2312" w:hAnsi="宋体" w:eastAsia="仿宋_GB2312" w:cs="宋体"/>
                <w:kern w:val="0"/>
                <w:szCs w:val="21"/>
              </w:rPr>
              <w:t>36</w:t>
            </w:r>
            <w:r>
              <w:rPr>
                <w:rFonts w:hint="eastAsia" w:ascii="仿宋_GB2312" w:hAnsi="宋体" w:eastAsia="仿宋_GB2312" w:cs="宋体"/>
                <w:kern w:val="0"/>
                <w:szCs w:val="21"/>
              </w:rPr>
              <w:t>人；支持科研2项，文化活动3项</w:t>
            </w:r>
          </w:p>
        </w:tc>
        <w:tc>
          <w:tcPr>
            <w:tcW w:w="114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7.5</w:t>
            </w:r>
          </w:p>
        </w:tc>
        <w:tc>
          <w:tcPr>
            <w:tcW w:w="107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7.5</w:t>
            </w:r>
          </w:p>
        </w:tc>
        <w:tc>
          <w:tcPr>
            <w:tcW w:w="1699"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无</w:t>
            </w:r>
          </w:p>
        </w:tc>
      </w:tr>
      <w:tr>
        <w:tblPrEx>
          <w:tblCellMar>
            <w:top w:w="0" w:type="dxa"/>
            <w:left w:w="108" w:type="dxa"/>
            <w:bottom w:w="0" w:type="dxa"/>
            <w:right w:w="108" w:type="dxa"/>
          </w:tblCellMar>
        </w:tblPrEx>
        <w:trPr>
          <w:trHeight w:val="1095" w:hRule="exact"/>
          <w:jc w:val="center"/>
        </w:trPr>
        <w:tc>
          <w:tcPr>
            <w:tcW w:w="47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78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72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质量指标</w:t>
            </w:r>
          </w:p>
        </w:tc>
        <w:tc>
          <w:tcPr>
            <w:tcW w:w="264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color w:val="000000"/>
                <w:kern w:val="0"/>
                <w:szCs w:val="21"/>
              </w:rPr>
            </w:pPr>
            <w:r>
              <w:rPr>
                <w:rFonts w:hint="eastAsia" w:ascii="仿宋_GB2312" w:hAnsi="宋体" w:eastAsia="仿宋_GB2312" w:cs="宋体"/>
                <w:kern w:val="0"/>
                <w:szCs w:val="21"/>
              </w:rPr>
              <w:t>产品标准</w:t>
            </w:r>
          </w:p>
        </w:tc>
        <w:tc>
          <w:tcPr>
            <w:tcW w:w="334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rPr>
                <w:rFonts w:hint="eastAsia" w:ascii="仿宋_GB2312" w:hAnsi="宋体" w:eastAsia="仿宋_GB2312" w:cs="宋体"/>
                <w:kern w:val="0"/>
                <w:szCs w:val="21"/>
              </w:rPr>
            </w:pPr>
            <w:r>
              <w:rPr>
                <w:rFonts w:hint="eastAsia" w:ascii="仿宋_GB2312" w:hAnsi="宋体" w:eastAsia="仿宋_GB2312" w:cs="宋体"/>
                <w:kern w:val="0"/>
                <w:szCs w:val="21"/>
              </w:rPr>
              <w:t>达到北京市同类学校和专业实验室同等水平；设备与系统都是主流先进产品，未来6-8年不会落后。</w:t>
            </w:r>
          </w:p>
        </w:tc>
        <w:tc>
          <w:tcPr>
            <w:tcW w:w="2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达到</w:t>
            </w:r>
          </w:p>
        </w:tc>
        <w:tc>
          <w:tcPr>
            <w:tcW w:w="114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5</w:t>
            </w:r>
          </w:p>
        </w:tc>
        <w:tc>
          <w:tcPr>
            <w:tcW w:w="107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4</w:t>
            </w:r>
          </w:p>
        </w:tc>
        <w:tc>
          <w:tcPr>
            <w:tcW w:w="1699"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 w:hAnsi="仿宋" w:eastAsia="仿宋" w:cs="宋体"/>
                <w:color w:val="000000"/>
                <w:kern w:val="0"/>
                <w:szCs w:val="21"/>
              </w:rPr>
              <w:t>标准可衡量不足，后续将科学、合理设置指标</w:t>
            </w:r>
          </w:p>
        </w:tc>
      </w:tr>
      <w:tr>
        <w:tblPrEx>
          <w:tblCellMar>
            <w:top w:w="0" w:type="dxa"/>
            <w:left w:w="108" w:type="dxa"/>
            <w:bottom w:w="0" w:type="dxa"/>
            <w:right w:w="108" w:type="dxa"/>
          </w:tblCellMar>
        </w:tblPrEx>
        <w:trPr>
          <w:trHeight w:val="749" w:hRule="exact"/>
          <w:jc w:val="center"/>
        </w:trPr>
        <w:tc>
          <w:tcPr>
            <w:tcW w:w="47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78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7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264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kern w:val="0"/>
                <w:szCs w:val="21"/>
              </w:rPr>
            </w:pPr>
            <w:r>
              <w:rPr>
                <w:rFonts w:hint="eastAsia" w:ascii="仿宋_GB2312" w:hAnsi="宋体" w:eastAsia="仿宋_GB2312" w:cs="宋体"/>
                <w:kern w:val="0"/>
                <w:szCs w:val="21"/>
              </w:rPr>
              <w:t>产品质量</w:t>
            </w:r>
          </w:p>
        </w:tc>
        <w:tc>
          <w:tcPr>
            <w:tcW w:w="334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rPr>
                <w:rFonts w:hint="eastAsia" w:ascii="仿宋_GB2312" w:hAnsi="宋体" w:eastAsia="仿宋_GB2312" w:cs="宋体"/>
                <w:kern w:val="0"/>
                <w:szCs w:val="21"/>
              </w:rPr>
            </w:pPr>
            <w:r>
              <w:rPr>
                <w:rFonts w:hint="eastAsia" w:ascii="仿宋_GB2312" w:hAnsi="宋体" w:eastAsia="仿宋_GB2312" w:cs="宋体"/>
                <w:kern w:val="0"/>
                <w:szCs w:val="21"/>
              </w:rPr>
              <w:t>验收合格率100%</w:t>
            </w:r>
          </w:p>
        </w:tc>
        <w:tc>
          <w:tcPr>
            <w:tcW w:w="2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1</w:t>
            </w:r>
            <w:r>
              <w:rPr>
                <w:rFonts w:ascii="仿宋_GB2312" w:hAnsi="宋体" w:eastAsia="仿宋_GB2312" w:cs="宋体"/>
                <w:kern w:val="0"/>
                <w:szCs w:val="21"/>
              </w:rPr>
              <w:t>00%</w:t>
            </w:r>
          </w:p>
        </w:tc>
        <w:tc>
          <w:tcPr>
            <w:tcW w:w="114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5</w:t>
            </w:r>
          </w:p>
        </w:tc>
        <w:tc>
          <w:tcPr>
            <w:tcW w:w="107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5</w:t>
            </w:r>
          </w:p>
        </w:tc>
        <w:tc>
          <w:tcPr>
            <w:tcW w:w="1699"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无</w:t>
            </w:r>
          </w:p>
        </w:tc>
      </w:tr>
      <w:tr>
        <w:tblPrEx>
          <w:tblCellMar>
            <w:top w:w="0" w:type="dxa"/>
            <w:left w:w="108" w:type="dxa"/>
            <w:bottom w:w="0" w:type="dxa"/>
            <w:right w:w="108" w:type="dxa"/>
          </w:tblCellMar>
        </w:tblPrEx>
        <w:trPr>
          <w:trHeight w:val="1130" w:hRule="exact"/>
          <w:jc w:val="center"/>
        </w:trPr>
        <w:tc>
          <w:tcPr>
            <w:tcW w:w="47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78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7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264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kern w:val="0"/>
                <w:szCs w:val="21"/>
              </w:rPr>
            </w:pPr>
            <w:r>
              <w:rPr>
                <w:rFonts w:hint="eastAsia" w:ascii="仿宋_GB2312" w:hAnsi="宋体" w:eastAsia="仿宋_GB2312" w:cs="宋体"/>
                <w:kern w:val="0"/>
                <w:szCs w:val="21"/>
              </w:rPr>
              <w:t>质量安全评估</w:t>
            </w:r>
          </w:p>
        </w:tc>
        <w:tc>
          <w:tcPr>
            <w:tcW w:w="334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rPr>
                <w:rFonts w:hint="eastAsia" w:ascii="仿宋_GB2312" w:hAnsi="宋体" w:eastAsia="仿宋_GB2312" w:cs="宋体"/>
                <w:kern w:val="0"/>
                <w:szCs w:val="21"/>
              </w:rPr>
            </w:pPr>
            <w:r>
              <w:rPr>
                <w:rFonts w:hint="eastAsia" w:ascii="仿宋_GB2312" w:hAnsi="宋体" w:eastAsia="仿宋_GB2312" w:cs="宋体"/>
                <w:kern w:val="0"/>
                <w:szCs w:val="21"/>
              </w:rPr>
              <w:t>质量安全要求新建实验室包括专业的环境建声设计和安全消防通风建设满足各项国标规定。</w:t>
            </w:r>
          </w:p>
        </w:tc>
        <w:tc>
          <w:tcPr>
            <w:tcW w:w="2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满足</w:t>
            </w:r>
          </w:p>
        </w:tc>
        <w:tc>
          <w:tcPr>
            <w:tcW w:w="114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5</w:t>
            </w:r>
          </w:p>
        </w:tc>
        <w:tc>
          <w:tcPr>
            <w:tcW w:w="107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4</w:t>
            </w:r>
          </w:p>
        </w:tc>
        <w:tc>
          <w:tcPr>
            <w:tcW w:w="1699"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 w:hAnsi="仿宋" w:eastAsia="仿宋" w:cs="宋体"/>
                <w:color w:val="000000"/>
                <w:kern w:val="0"/>
                <w:szCs w:val="21"/>
              </w:rPr>
              <w:t>标准可衡量不足，后续将科学、合理设置指标</w:t>
            </w:r>
          </w:p>
        </w:tc>
      </w:tr>
      <w:tr>
        <w:tblPrEx>
          <w:tblCellMar>
            <w:top w:w="0" w:type="dxa"/>
            <w:left w:w="108" w:type="dxa"/>
            <w:bottom w:w="0" w:type="dxa"/>
            <w:right w:w="108" w:type="dxa"/>
          </w:tblCellMar>
        </w:tblPrEx>
        <w:trPr>
          <w:trHeight w:val="976" w:hRule="exact"/>
          <w:jc w:val="center"/>
        </w:trPr>
        <w:tc>
          <w:tcPr>
            <w:tcW w:w="47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78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时效指标</w:t>
            </w:r>
          </w:p>
        </w:tc>
        <w:tc>
          <w:tcPr>
            <w:tcW w:w="264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kern w:val="0"/>
                <w:szCs w:val="21"/>
              </w:rPr>
            </w:pPr>
            <w:r>
              <w:rPr>
                <w:rFonts w:hint="eastAsia" w:ascii="仿宋_GB2312" w:hAnsi="宋体" w:eastAsia="仿宋_GB2312" w:cs="宋体"/>
                <w:kern w:val="0"/>
                <w:szCs w:val="21"/>
              </w:rPr>
              <w:t>完成时间</w:t>
            </w:r>
          </w:p>
        </w:tc>
        <w:tc>
          <w:tcPr>
            <w:tcW w:w="334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rPr>
                <w:rFonts w:hint="eastAsia" w:ascii="仿宋_GB2312" w:hAnsi="宋体" w:eastAsia="仿宋_GB2312" w:cs="宋体"/>
                <w:kern w:val="0"/>
                <w:szCs w:val="21"/>
              </w:rPr>
            </w:pPr>
            <w:r>
              <w:rPr>
                <w:rFonts w:hint="eastAsia" w:ascii="仿宋_GB2312" w:hAnsi="宋体" w:eastAsia="仿宋_GB2312" w:cs="宋体"/>
                <w:kern w:val="0"/>
                <w:szCs w:val="21"/>
              </w:rPr>
              <w:t>202</w:t>
            </w:r>
            <w:r>
              <w:rPr>
                <w:rFonts w:ascii="仿宋_GB2312" w:hAnsi="宋体" w:eastAsia="仿宋_GB2312" w:cs="宋体"/>
                <w:kern w:val="0"/>
                <w:szCs w:val="21"/>
              </w:rPr>
              <w:t>3</w:t>
            </w:r>
            <w:r>
              <w:rPr>
                <w:rFonts w:hint="eastAsia" w:ascii="仿宋_GB2312" w:hAnsi="宋体" w:eastAsia="仿宋_GB2312" w:cs="宋体"/>
                <w:kern w:val="0"/>
                <w:szCs w:val="21"/>
              </w:rPr>
              <w:t>年底之前完成建设</w:t>
            </w:r>
          </w:p>
        </w:tc>
        <w:tc>
          <w:tcPr>
            <w:tcW w:w="2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2</w:t>
            </w:r>
            <w:r>
              <w:rPr>
                <w:rFonts w:ascii="仿宋_GB2312" w:hAnsi="宋体" w:eastAsia="仿宋_GB2312" w:cs="宋体"/>
                <w:kern w:val="0"/>
                <w:szCs w:val="21"/>
              </w:rPr>
              <w:t>023</w:t>
            </w:r>
            <w:r>
              <w:rPr>
                <w:rFonts w:hint="eastAsia" w:ascii="仿宋_GB2312" w:hAnsi="宋体" w:eastAsia="仿宋_GB2312" w:cs="宋体"/>
                <w:kern w:val="0"/>
                <w:szCs w:val="21"/>
              </w:rPr>
              <w:t>年1</w:t>
            </w:r>
            <w:r>
              <w:rPr>
                <w:rFonts w:ascii="仿宋_GB2312" w:hAnsi="宋体" w:eastAsia="仿宋_GB2312" w:cs="宋体"/>
                <w:kern w:val="0"/>
                <w:szCs w:val="21"/>
              </w:rPr>
              <w:t>1</w:t>
            </w:r>
            <w:r>
              <w:rPr>
                <w:rFonts w:hint="eastAsia" w:ascii="仿宋_GB2312" w:hAnsi="宋体" w:eastAsia="仿宋_GB2312" w:cs="宋体"/>
                <w:kern w:val="0"/>
                <w:szCs w:val="21"/>
              </w:rPr>
              <w:t>月3</w:t>
            </w:r>
            <w:r>
              <w:rPr>
                <w:rFonts w:ascii="仿宋_GB2312" w:hAnsi="宋体" w:eastAsia="仿宋_GB2312" w:cs="宋体"/>
                <w:kern w:val="0"/>
                <w:szCs w:val="21"/>
              </w:rPr>
              <w:t>0</w:t>
            </w:r>
            <w:r>
              <w:rPr>
                <w:rFonts w:hint="eastAsia" w:ascii="仿宋_GB2312" w:hAnsi="宋体" w:eastAsia="仿宋_GB2312" w:cs="宋体"/>
                <w:kern w:val="0"/>
                <w:szCs w:val="21"/>
              </w:rPr>
              <w:t>日完成</w:t>
            </w:r>
          </w:p>
        </w:tc>
        <w:tc>
          <w:tcPr>
            <w:tcW w:w="114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107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1699"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无</w:t>
            </w:r>
          </w:p>
        </w:tc>
      </w:tr>
      <w:tr>
        <w:tblPrEx>
          <w:tblCellMar>
            <w:top w:w="0" w:type="dxa"/>
            <w:left w:w="108" w:type="dxa"/>
            <w:bottom w:w="0" w:type="dxa"/>
            <w:right w:w="108" w:type="dxa"/>
          </w:tblCellMar>
        </w:tblPrEx>
        <w:trPr>
          <w:trHeight w:val="1411" w:hRule="exact"/>
          <w:jc w:val="center"/>
        </w:trPr>
        <w:tc>
          <w:tcPr>
            <w:tcW w:w="47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78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成本指标</w:t>
            </w:r>
          </w:p>
        </w:tc>
        <w:tc>
          <w:tcPr>
            <w:tcW w:w="7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经济成本指标</w:t>
            </w:r>
          </w:p>
        </w:tc>
        <w:tc>
          <w:tcPr>
            <w:tcW w:w="264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kern w:val="0"/>
                <w:szCs w:val="21"/>
              </w:rPr>
            </w:pPr>
            <w:r>
              <w:rPr>
                <w:rFonts w:hint="eastAsia" w:ascii="仿宋_GB2312" w:hAnsi="宋体" w:eastAsia="仿宋_GB2312" w:cs="宋体"/>
                <w:kern w:val="0"/>
                <w:szCs w:val="21"/>
              </w:rPr>
              <w:t>节约成本管理</w:t>
            </w:r>
          </w:p>
        </w:tc>
        <w:tc>
          <w:tcPr>
            <w:tcW w:w="334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rPr>
              <w:t>7</w:t>
            </w:r>
            <w:r>
              <w:rPr>
                <w:rFonts w:ascii="仿宋_GB2312" w:hAnsi="宋体" w:eastAsia="仿宋_GB2312" w:cs="宋体"/>
                <w:kern w:val="0"/>
                <w:szCs w:val="21"/>
              </w:rPr>
              <w:t>76</w:t>
            </w:r>
            <w:r>
              <w:rPr>
                <w:rFonts w:hint="eastAsia" w:ascii="仿宋_GB2312" w:hAnsi="宋体" w:eastAsia="仿宋_GB2312" w:cs="宋体"/>
                <w:kern w:val="0"/>
                <w:szCs w:val="21"/>
                <w:lang w:val="en-US" w:eastAsia="zh-CN"/>
              </w:rPr>
              <w:t>万元</w:t>
            </w:r>
          </w:p>
        </w:tc>
        <w:tc>
          <w:tcPr>
            <w:tcW w:w="2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lang w:val="en-US" w:eastAsia="zh-CN"/>
              </w:rPr>
            </w:pPr>
            <w:bookmarkStart w:id="0" w:name="_GoBack"/>
            <w:r>
              <w:rPr>
                <w:rFonts w:hint="eastAsia" w:ascii="仿宋_GB2312" w:hAnsi="宋体" w:eastAsia="仿宋_GB2312" w:cs="宋体"/>
                <w:kern w:val="0"/>
                <w:szCs w:val="21"/>
              </w:rPr>
              <w:t>775.459740</w:t>
            </w:r>
            <w:bookmarkEnd w:id="0"/>
            <w:r>
              <w:rPr>
                <w:rFonts w:hint="eastAsia" w:ascii="仿宋_GB2312" w:hAnsi="宋体" w:eastAsia="仿宋_GB2312" w:cs="宋体"/>
                <w:kern w:val="0"/>
                <w:szCs w:val="21"/>
                <w:lang w:val="en-US" w:eastAsia="zh-CN"/>
              </w:rPr>
              <w:t>万元</w:t>
            </w:r>
          </w:p>
        </w:tc>
        <w:tc>
          <w:tcPr>
            <w:tcW w:w="114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107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1699"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无</w:t>
            </w:r>
          </w:p>
        </w:tc>
      </w:tr>
      <w:tr>
        <w:tblPrEx>
          <w:tblCellMar>
            <w:top w:w="0" w:type="dxa"/>
            <w:left w:w="108" w:type="dxa"/>
            <w:bottom w:w="0" w:type="dxa"/>
            <w:right w:w="108" w:type="dxa"/>
          </w:tblCellMar>
        </w:tblPrEx>
        <w:trPr>
          <w:trHeight w:val="2061" w:hRule="exact"/>
          <w:jc w:val="center"/>
        </w:trPr>
        <w:tc>
          <w:tcPr>
            <w:tcW w:w="47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786"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效益指标</w:t>
            </w:r>
          </w:p>
        </w:tc>
        <w:tc>
          <w:tcPr>
            <w:tcW w:w="7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rPr>
              <w:t>社会效益</w:t>
            </w:r>
            <w:r>
              <w:rPr>
                <w:rFonts w:hint="eastAsia" w:ascii="仿宋_GB2312" w:hAnsi="宋体" w:eastAsia="仿宋_GB2312" w:cs="宋体"/>
                <w:kern w:val="0"/>
                <w:szCs w:val="21"/>
                <w:lang w:val="en-US" w:eastAsia="zh-CN"/>
              </w:rPr>
              <w:t>指标</w:t>
            </w:r>
          </w:p>
        </w:tc>
        <w:tc>
          <w:tcPr>
            <w:tcW w:w="264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kern w:val="0"/>
                <w:szCs w:val="21"/>
              </w:rPr>
            </w:pPr>
            <w:r>
              <w:rPr>
                <w:rFonts w:hint="eastAsia" w:ascii="仿宋_GB2312" w:hAnsi="宋体" w:eastAsia="仿宋_GB2312" w:cs="宋体"/>
                <w:kern w:val="0"/>
                <w:szCs w:val="21"/>
              </w:rPr>
              <w:t>同时提供录音合唱、声乐等专业的录音场所，影视后期制作能为学生提供视频制作场所，为组织学生参加国际及国内各类竞赛提供实践基地，同时可以支持专职教师的科研项目申报实验环节等。</w:t>
            </w:r>
          </w:p>
        </w:tc>
        <w:tc>
          <w:tcPr>
            <w:tcW w:w="334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rPr>
                <w:rFonts w:hint="eastAsia" w:ascii="仿宋_GB2312" w:hAnsi="宋体" w:eastAsia="仿宋_GB2312" w:cs="宋体"/>
                <w:kern w:val="0"/>
                <w:szCs w:val="21"/>
              </w:rPr>
            </w:pPr>
            <w:r>
              <w:rPr>
                <w:rFonts w:hint="eastAsia" w:ascii="仿宋_GB2312" w:hAnsi="宋体" w:eastAsia="仿宋_GB2312" w:cs="宋体"/>
                <w:kern w:val="0"/>
                <w:szCs w:val="21"/>
              </w:rPr>
              <w:t>将为展现我校文化建设成果、办学特色，提升学校形象、吸收优质生源做出贡献。增加学校在社会中的影响力、增加招生和就业机会。为国家尤其是首都地区做出更多更大的贡献。</w:t>
            </w:r>
          </w:p>
        </w:tc>
        <w:tc>
          <w:tcPr>
            <w:tcW w:w="2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满足</w:t>
            </w:r>
          </w:p>
        </w:tc>
        <w:tc>
          <w:tcPr>
            <w:tcW w:w="114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15</w:t>
            </w:r>
          </w:p>
        </w:tc>
        <w:tc>
          <w:tcPr>
            <w:tcW w:w="107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12</w:t>
            </w:r>
          </w:p>
        </w:tc>
        <w:tc>
          <w:tcPr>
            <w:tcW w:w="1699"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rPr>
                <w:rFonts w:hint="eastAsia" w:ascii="仿宋_GB2312" w:hAnsi="宋体" w:eastAsia="仿宋_GB2312" w:cs="宋体"/>
                <w:kern w:val="0"/>
                <w:szCs w:val="21"/>
              </w:rPr>
            </w:pPr>
            <w:r>
              <w:rPr>
                <w:rFonts w:hint="eastAsia" w:ascii="仿宋" w:hAnsi="仿宋" w:eastAsia="仿宋" w:cs="宋体"/>
                <w:color w:val="000000"/>
                <w:kern w:val="0"/>
                <w:szCs w:val="21"/>
              </w:rPr>
              <w:t>标准可衡量不足，后续将科学、合理设置指标</w:t>
            </w:r>
          </w:p>
        </w:tc>
      </w:tr>
      <w:tr>
        <w:tblPrEx>
          <w:tblCellMar>
            <w:top w:w="0" w:type="dxa"/>
            <w:left w:w="108" w:type="dxa"/>
            <w:bottom w:w="0" w:type="dxa"/>
            <w:right w:w="108" w:type="dxa"/>
          </w:tblCellMar>
        </w:tblPrEx>
        <w:trPr>
          <w:trHeight w:val="3672" w:hRule="exact"/>
          <w:jc w:val="center"/>
        </w:trPr>
        <w:tc>
          <w:tcPr>
            <w:tcW w:w="47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78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rPr>
              <w:t>可持续影响</w:t>
            </w:r>
            <w:r>
              <w:rPr>
                <w:rFonts w:hint="eastAsia" w:ascii="仿宋_GB2312" w:hAnsi="宋体" w:eastAsia="仿宋_GB2312" w:cs="宋体"/>
                <w:kern w:val="0"/>
                <w:szCs w:val="21"/>
                <w:lang w:val="en-US" w:eastAsia="zh-CN"/>
              </w:rPr>
              <w:t>指标</w:t>
            </w:r>
          </w:p>
        </w:tc>
        <w:tc>
          <w:tcPr>
            <w:tcW w:w="264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kern w:val="0"/>
                <w:szCs w:val="21"/>
              </w:rPr>
            </w:pPr>
            <w:r>
              <w:rPr>
                <w:rFonts w:hint="eastAsia" w:ascii="仿宋_GB2312" w:hAnsi="宋体" w:eastAsia="仿宋_GB2312" w:cs="宋体"/>
                <w:kern w:val="0"/>
                <w:szCs w:val="21"/>
              </w:rPr>
              <w:t>本实践中心将持续为培养具有较强动手与实践能力的传媒与管理人才提供强有力的支持与保障。提高学生们对科学的探知欲、对实验课产生浓厚兴趣，增长学生眼界，提升动手操作能力。支持学生实习、学生社团等相关活动的场地、灯光、音视频设备的使用支持。</w:t>
            </w:r>
          </w:p>
        </w:tc>
        <w:tc>
          <w:tcPr>
            <w:tcW w:w="334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rPr>
                <w:rFonts w:hint="eastAsia" w:ascii="仿宋_GB2312" w:hAnsi="宋体" w:eastAsia="仿宋_GB2312" w:cs="宋体"/>
                <w:kern w:val="0"/>
                <w:szCs w:val="21"/>
              </w:rPr>
            </w:pPr>
            <w:r>
              <w:rPr>
                <w:rFonts w:hint="eastAsia" w:ascii="仿宋_GB2312" w:hAnsi="宋体" w:eastAsia="仿宋_GB2312" w:cs="宋体"/>
                <w:kern w:val="0"/>
                <w:szCs w:val="21"/>
              </w:rPr>
              <w:t>本实践中心将持续为培养具有较强动手与实践能力的传媒与管理人才提供强有力的支持与保障。提高学生们对科学的探知欲、对实验课产生浓厚兴趣，增长学生眼界，提升动手操作能力。支持学生实习、学生社团等相关活动的场地、灯光、音视频设备的使用支持，同时能录音合唱、声乐等专业的录音场所，影视后期制作能为学生提供视频制作场所，为组织学生参加国际及国内各类竞赛提供实践基地，同时可以支持专职教师的科研项目申报实验环节等。</w:t>
            </w:r>
          </w:p>
        </w:tc>
        <w:tc>
          <w:tcPr>
            <w:tcW w:w="2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满足</w:t>
            </w:r>
          </w:p>
        </w:tc>
        <w:tc>
          <w:tcPr>
            <w:tcW w:w="114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15</w:t>
            </w:r>
          </w:p>
        </w:tc>
        <w:tc>
          <w:tcPr>
            <w:tcW w:w="107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12</w:t>
            </w:r>
          </w:p>
        </w:tc>
        <w:tc>
          <w:tcPr>
            <w:tcW w:w="1699"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rPr>
                <w:rFonts w:hint="eastAsia" w:ascii="仿宋_GB2312" w:hAnsi="宋体" w:eastAsia="仿宋_GB2312" w:cs="宋体"/>
                <w:kern w:val="0"/>
                <w:szCs w:val="21"/>
              </w:rPr>
            </w:pPr>
            <w:r>
              <w:rPr>
                <w:rFonts w:hint="eastAsia" w:ascii="仿宋" w:hAnsi="仿宋" w:eastAsia="仿宋" w:cs="宋体"/>
                <w:color w:val="000000"/>
                <w:kern w:val="0"/>
                <w:szCs w:val="21"/>
              </w:rPr>
              <w:t>标准可衡量不足，后续将科学、合理设置指标</w:t>
            </w:r>
          </w:p>
        </w:tc>
      </w:tr>
      <w:tr>
        <w:tblPrEx>
          <w:tblCellMar>
            <w:top w:w="0" w:type="dxa"/>
            <w:left w:w="108" w:type="dxa"/>
            <w:bottom w:w="0" w:type="dxa"/>
            <w:right w:w="108" w:type="dxa"/>
          </w:tblCellMar>
        </w:tblPrEx>
        <w:trPr>
          <w:trHeight w:val="708" w:hRule="exact"/>
          <w:jc w:val="center"/>
        </w:trPr>
        <w:tc>
          <w:tcPr>
            <w:tcW w:w="47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786"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满意度</w:t>
            </w:r>
          </w:p>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指标</w:t>
            </w:r>
          </w:p>
        </w:tc>
        <w:tc>
          <w:tcPr>
            <w:tcW w:w="72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服务对象满意度</w:t>
            </w:r>
            <w:r>
              <w:rPr>
                <w:rFonts w:hint="eastAsia" w:ascii="仿宋_GB2312" w:hAnsi="宋体" w:eastAsia="仿宋_GB2312" w:cs="宋体"/>
                <w:kern w:val="0"/>
                <w:szCs w:val="21"/>
                <w:lang w:val="en-US" w:eastAsia="zh-CN"/>
              </w:rPr>
              <w:t>指</w:t>
            </w:r>
            <w:r>
              <w:rPr>
                <w:rFonts w:hint="eastAsia" w:ascii="仿宋_GB2312" w:hAnsi="宋体" w:eastAsia="仿宋_GB2312" w:cs="宋体"/>
                <w:kern w:val="0"/>
                <w:szCs w:val="21"/>
              </w:rPr>
              <w:t>标</w:t>
            </w:r>
          </w:p>
        </w:tc>
        <w:tc>
          <w:tcPr>
            <w:tcW w:w="264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学生</w:t>
            </w:r>
          </w:p>
        </w:tc>
        <w:tc>
          <w:tcPr>
            <w:tcW w:w="334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rPr>
                <w:rFonts w:hint="eastAsia" w:ascii="仿宋_GB2312" w:hAnsi="宋体" w:eastAsia="仿宋_GB2312" w:cs="宋体"/>
                <w:kern w:val="0"/>
                <w:szCs w:val="21"/>
              </w:rPr>
            </w:pPr>
            <w:r>
              <w:rPr>
                <w:rFonts w:hint="eastAsia" w:ascii="仿宋_GB2312" w:hAnsi="宋体" w:eastAsia="仿宋_GB2312" w:cs="宋体"/>
                <w:kern w:val="0"/>
                <w:szCs w:val="21"/>
              </w:rPr>
              <w:t>满意度95%及以上</w:t>
            </w:r>
          </w:p>
        </w:tc>
        <w:tc>
          <w:tcPr>
            <w:tcW w:w="2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w:t>
            </w:r>
            <w:r>
              <w:rPr>
                <w:rFonts w:ascii="仿宋_GB2312" w:hAnsi="宋体" w:eastAsia="仿宋_GB2312" w:cs="宋体"/>
                <w:kern w:val="0"/>
                <w:szCs w:val="21"/>
              </w:rPr>
              <w:t>5.3</w:t>
            </w:r>
            <w:r>
              <w:rPr>
                <w:rFonts w:hint="eastAsia" w:ascii="仿宋_GB2312" w:hAnsi="宋体" w:eastAsia="仿宋_GB2312" w:cs="宋体"/>
                <w:kern w:val="0"/>
                <w:szCs w:val="21"/>
              </w:rPr>
              <w:t>3%</w:t>
            </w:r>
          </w:p>
        </w:tc>
        <w:tc>
          <w:tcPr>
            <w:tcW w:w="114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5</w:t>
            </w:r>
          </w:p>
        </w:tc>
        <w:tc>
          <w:tcPr>
            <w:tcW w:w="107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5</w:t>
            </w:r>
          </w:p>
        </w:tc>
        <w:tc>
          <w:tcPr>
            <w:tcW w:w="1699"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无</w:t>
            </w:r>
          </w:p>
        </w:tc>
      </w:tr>
      <w:tr>
        <w:tblPrEx>
          <w:tblCellMar>
            <w:top w:w="0" w:type="dxa"/>
            <w:left w:w="108" w:type="dxa"/>
            <w:bottom w:w="0" w:type="dxa"/>
            <w:right w:w="108" w:type="dxa"/>
          </w:tblCellMar>
        </w:tblPrEx>
        <w:trPr>
          <w:trHeight w:val="684" w:hRule="exact"/>
          <w:jc w:val="center"/>
        </w:trPr>
        <w:tc>
          <w:tcPr>
            <w:tcW w:w="47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78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7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264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教师</w:t>
            </w:r>
          </w:p>
        </w:tc>
        <w:tc>
          <w:tcPr>
            <w:tcW w:w="334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rPr>
                <w:rFonts w:hint="eastAsia" w:ascii="仿宋_GB2312" w:hAnsi="宋体" w:eastAsia="仿宋_GB2312" w:cs="宋体"/>
                <w:kern w:val="0"/>
                <w:szCs w:val="21"/>
              </w:rPr>
            </w:pPr>
            <w:r>
              <w:rPr>
                <w:rFonts w:hint="eastAsia" w:ascii="仿宋_GB2312" w:hAnsi="宋体" w:eastAsia="仿宋_GB2312" w:cs="宋体"/>
                <w:kern w:val="0"/>
                <w:szCs w:val="21"/>
              </w:rPr>
              <w:t>满意度95%及以上</w:t>
            </w:r>
          </w:p>
        </w:tc>
        <w:tc>
          <w:tcPr>
            <w:tcW w:w="2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1</w:t>
            </w:r>
            <w:r>
              <w:rPr>
                <w:rFonts w:ascii="仿宋_GB2312" w:hAnsi="宋体" w:eastAsia="仿宋_GB2312" w:cs="宋体"/>
                <w:kern w:val="0"/>
                <w:szCs w:val="21"/>
              </w:rPr>
              <w:t>00</w:t>
            </w:r>
            <w:r>
              <w:rPr>
                <w:rFonts w:hint="eastAsia" w:ascii="仿宋_GB2312" w:hAnsi="宋体" w:eastAsia="仿宋_GB2312" w:cs="宋体"/>
                <w:kern w:val="0"/>
                <w:szCs w:val="21"/>
              </w:rPr>
              <w:t>%</w:t>
            </w:r>
          </w:p>
        </w:tc>
        <w:tc>
          <w:tcPr>
            <w:tcW w:w="114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5</w:t>
            </w:r>
          </w:p>
        </w:tc>
        <w:tc>
          <w:tcPr>
            <w:tcW w:w="107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5</w:t>
            </w:r>
          </w:p>
        </w:tc>
        <w:tc>
          <w:tcPr>
            <w:tcW w:w="1699"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无</w:t>
            </w:r>
          </w:p>
        </w:tc>
      </w:tr>
      <w:tr>
        <w:tblPrEx>
          <w:tblCellMar>
            <w:top w:w="0" w:type="dxa"/>
            <w:left w:w="108" w:type="dxa"/>
            <w:bottom w:w="0" w:type="dxa"/>
            <w:right w:w="108" w:type="dxa"/>
          </w:tblCellMar>
        </w:tblPrEx>
        <w:trPr>
          <w:trHeight w:val="477" w:hRule="exact"/>
          <w:jc w:val="center"/>
        </w:trPr>
        <w:tc>
          <w:tcPr>
            <w:tcW w:w="10062" w:type="dxa"/>
            <w:gridSpan w:val="8"/>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114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107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91.99</w:t>
            </w:r>
          </w:p>
        </w:tc>
        <w:tc>
          <w:tcPr>
            <w:tcW w:w="1699"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r>
    </w:tbl>
    <w:p>
      <w:pPr>
        <w:rPr>
          <w:rFonts w:hint="eastAsia"/>
        </w:rPr>
      </w:pPr>
    </w:p>
    <w:sectPr>
      <w:headerReference r:id="rId3" w:type="default"/>
      <w:footerReference r:id="rId4" w:type="default"/>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tabs>
        <w:tab w:val="left" w:pos="6120"/>
      </w:tabs>
      <w:jc w:val="left"/>
      <w:rPr>
        <w:rFonts w:hint="eastAsia"/>
      </w:rPr>
    </w:pPr>
    <w:r>
      <w:rPr>
        <w:rFonts w:hint="eastAsia"/>
      </w:rPr>
      <w:tab/>
    </w:r>
    <w:r>
      <w:rPr>
        <w:rFonts w:hint="eastAsi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E4NjM4ZjM5N2FjNzViM2M3MGY3YTgxMjAyYjUzYjgifQ=="/>
  </w:docVars>
  <w:rsids>
    <w:rsidRoot w:val="00512C82"/>
    <w:rsid w:val="000F2BAB"/>
    <w:rsid w:val="00147F9B"/>
    <w:rsid w:val="001F3076"/>
    <w:rsid w:val="0020717C"/>
    <w:rsid w:val="002B2BA3"/>
    <w:rsid w:val="0033574A"/>
    <w:rsid w:val="003435ED"/>
    <w:rsid w:val="003851B4"/>
    <w:rsid w:val="00416E0D"/>
    <w:rsid w:val="0045622B"/>
    <w:rsid w:val="00512C82"/>
    <w:rsid w:val="00551811"/>
    <w:rsid w:val="00577B69"/>
    <w:rsid w:val="008A3EEA"/>
    <w:rsid w:val="00A35DA6"/>
    <w:rsid w:val="00AB02E8"/>
    <w:rsid w:val="00B02D81"/>
    <w:rsid w:val="00B47A57"/>
    <w:rsid w:val="00BC32F2"/>
    <w:rsid w:val="00BF0DAB"/>
    <w:rsid w:val="00C04464"/>
    <w:rsid w:val="00CD6738"/>
    <w:rsid w:val="00CE49C2"/>
    <w:rsid w:val="00CE4E2B"/>
    <w:rsid w:val="00D55BEE"/>
    <w:rsid w:val="00E017CD"/>
    <w:rsid w:val="00F51AB8"/>
    <w:rsid w:val="00F561EB"/>
    <w:rsid w:val="00FE4DAC"/>
    <w:rsid w:val="030E5DCB"/>
    <w:rsid w:val="06165C0A"/>
    <w:rsid w:val="08FD160B"/>
    <w:rsid w:val="0B6569F4"/>
    <w:rsid w:val="14775206"/>
    <w:rsid w:val="19680804"/>
    <w:rsid w:val="1A403423"/>
    <w:rsid w:val="1B984548"/>
    <w:rsid w:val="2FE344EB"/>
    <w:rsid w:val="330464F9"/>
    <w:rsid w:val="34DE6CFF"/>
    <w:rsid w:val="35F62943"/>
    <w:rsid w:val="37E72FFE"/>
    <w:rsid w:val="385453CE"/>
    <w:rsid w:val="3BB80C52"/>
    <w:rsid w:val="423C107A"/>
    <w:rsid w:val="4B26517A"/>
    <w:rsid w:val="4DE41CC7"/>
    <w:rsid w:val="4DF74D1B"/>
    <w:rsid w:val="55E94EB6"/>
    <w:rsid w:val="56E1249F"/>
    <w:rsid w:val="577D083A"/>
    <w:rsid w:val="5D607E30"/>
    <w:rsid w:val="647D7808"/>
    <w:rsid w:val="67A463F1"/>
    <w:rsid w:val="68660FC4"/>
    <w:rsid w:val="6BF1329A"/>
    <w:rsid w:val="7601232C"/>
    <w:rsid w:val="7FFB8508"/>
    <w:rsid w:val="B9E710A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autoRedefine/>
    <w:unhideWhenUsed/>
    <w:qFormat/>
    <w:uiPriority w:val="1"/>
  </w:style>
  <w:style w:type="table" w:default="1" w:styleId="4">
    <w:name w:val="Normal Table"/>
    <w:autoRedefine/>
    <w:unhideWhenUsed/>
    <w:qFormat/>
    <w:uiPriority w:val="99"/>
    <w:tblPr>
      <w:tblCellMar>
        <w:top w:w="0" w:type="dxa"/>
        <w:left w:w="108" w:type="dxa"/>
        <w:bottom w:w="0" w:type="dxa"/>
        <w:right w:w="108" w:type="dxa"/>
      </w:tblCellMar>
    </w:tblPr>
  </w:style>
  <w:style w:type="paragraph" w:styleId="2">
    <w:name w:val="footer"/>
    <w:basedOn w:val="1"/>
    <w:link w:val="6"/>
    <w:autoRedefine/>
    <w:unhideWhenUsed/>
    <w:qFormat/>
    <w:uiPriority w:val="99"/>
    <w:pPr>
      <w:tabs>
        <w:tab w:val="center" w:pos="4153"/>
        <w:tab w:val="right" w:pos="8306"/>
      </w:tabs>
      <w:snapToGrid w:val="0"/>
      <w:jc w:val="left"/>
    </w:pPr>
    <w:rPr>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字符"/>
    <w:link w:val="2"/>
    <w:autoRedefine/>
    <w:qFormat/>
    <w:uiPriority w:val="99"/>
    <w:rPr>
      <w:sz w:val="18"/>
      <w:szCs w:val="18"/>
    </w:rPr>
  </w:style>
  <w:style w:type="character" w:customStyle="1" w:styleId="7">
    <w:name w:val="页眉 字符"/>
    <w:link w:val="3"/>
    <w:autoRedefine/>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1761</Words>
  <Characters>1914</Characters>
  <Lines>13</Lines>
  <Paragraphs>3</Paragraphs>
  <TotalTime>1</TotalTime>
  <ScaleCrop>false</ScaleCrop>
  <LinksUpToDate>false</LinksUpToDate>
  <CharactersWithSpaces>1924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2024-04-22T02:04:00Z</dcterms:created>
  <dc:creator>Administrator</dc:creator>
  <cp:lastModifiedBy>沂滓逞撞僮</cp:lastModifiedBy>
  <dcterms:modified xsi:type="dcterms:W3CDTF">2024-06-20T06:42:22Z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914EE8F0E5F44D2CB6565E53BBA3DF10_13</vt:lpwstr>
  </property>
</Properties>
</file>