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57D28">
      <w:pPr>
        <w:jc w:val="center"/>
        <w:rPr>
          <w:rFonts w:ascii="仿宋_GB2312" w:eastAsiaTheme="minorEastAsia"/>
          <w:b/>
          <w:sz w:val="32"/>
          <w:szCs w:val="32"/>
        </w:rPr>
      </w:pPr>
    </w:p>
    <w:p w14:paraId="6DB07C9F">
      <w:pPr>
        <w:jc w:val="center"/>
        <w:rPr>
          <w:rFonts w:ascii="黑体" w:eastAsia="黑体"/>
          <w:sz w:val="72"/>
          <w:szCs w:val="72"/>
        </w:rPr>
      </w:pPr>
    </w:p>
    <w:p w14:paraId="4754080B">
      <w:pPr>
        <w:jc w:val="center"/>
        <w:rPr>
          <w:rFonts w:ascii="黑体" w:eastAsia="黑体"/>
          <w:sz w:val="72"/>
          <w:szCs w:val="72"/>
        </w:rPr>
      </w:pPr>
    </w:p>
    <w:p w14:paraId="4842A5DA">
      <w:pPr>
        <w:jc w:val="center"/>
        <w:rPr>
          <w:rFonts w:ascii="黑体" w:eastAsia="黑体"/>
          <w:sz w:val="72"/>
          <w:szCs w:val="72"/>
        </w:rPr>
      </w:pPr>
    </w:p>
    <w:p w14:paraId="53CC6E87">
      <w:pPr>
        <w:jc w:val="center"/>
        <w:rPr>
          <w:rFonts w:ascii="黑体" w:eastAsia="黑体"/>
          <w:sz w:val="72"/>
          <w:szCs w:val="72"/>
        </w:rPr>
      </w:pPr>
    </w:p>
    <w:p w14:paraId="30942C28">
      <w:pPr>
        <w:jc w:val="center"/>
        <w:rPr>
          <w:rFonts w:ascii="黑体" w:eastAsia="黑体"/>
          <w:sz w:val="72"/>
          <w:szCs w:val="72"/>
        </w:rPr>
      </w:pPr>
      <w:r>
        <w:rPr>
          <w:rFonts w:hint="eastAsia" w:ascii="黑体" w:eastAsia="黑体"/>
          <w:sz w:val="72"/>
          <w:szCs w:val="72"/>
        </w:rPr>
        <w:t>2023年度部门决算公开</w:t>
      </w:r>
    </w:p>
    <w:p w14:paraId="07BFB387">
      <w:pPr>
        <w:pStyle w:val="2"/>
        <w:ind w:firstLine="1440"/>
        <w:rPr>
          <w:rFonts w:ascii="黑体" w:eastAsia="黑体"/>
          <w:sz w:val="72"/>
          <w:szCs w:val="72"/>
        </w:rPr>
      </w:pPr>
    </w:p>
    <w:p w14:paraId="09779C26">
      <w:pPr>
        <w:jc w:val="center"/>
        <w:rPr>
          <w:rFonts w:ascii="宋体" w:hAnsi="宋体"/>
          <w:sz w:val="36"/>
          <w:szCs w:val="36"/>
        </w:rPr>
      </w:pPr>
      <w:r>
        <w:rPr>
          <w:rFonts w:hint="eastAsia" w:ascii="宋体" w:hAnsi="宋体"/>
          <w:sz w:val="36"/>
          <w:szCs w:val="36"/>
        </w:rPr>
        <w:t>单位名称：北京农学院</w:t>
      </w:r>
    </w:p>
    <w:p w14:paraId="6318A6C6">
      <w:pPr>
        <w:jc w:val="center"/>
        <w:rPr>
          <w:rFonts w:ascii="黑体" w:eastAsia="黑体"/>
          <w:sz w:val="52"/>
          <w:szCs w:val="52"/>
        </w:rPr>
      </w:pPr>
    </w:p>
    <w:p w14:paraId="79AC5EF9">
      <w:pPr>
        <w:jc w:val="center"/>
        <w:rPr>
          <w:rFonts w:ascii="黑体" w:eastAsia="黑体"/>
          <w:sz w:val="52"/>
          <w:szCs w:val="52"/>
        </w:rPr>
      </w:pPr>
    </w:p>
    <w:p w14:paraId="1461DC28">
      <w:pPr>
        <w:jc w:val="center"/>
        <w:rPr>
          <w:rFonts w:ascii="黑体" w:eastAsia="黑体"/>
          <w:sz w:val="52"/>
          <w:szCs w:val="52"/>
        </w:rPr>
      </w:pPr>
    </w:p>
    <w:p w14:paraId="7A1010B5">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19B98C44">
      <w:pPr>
        <w:spacing w:line="500" w:lineRule="exact"/>
        <w:ind w:firstLine="645"/>
        <w:jc w:val="center"/>
        <w:rPr>
          <w:rFonts w:ascii="宋体" w:hAnsi="宋体" w:cs="宋体"/>
          <w:b/>
          <w:bCs/>
          <w:kern w:val="0"/>
          <w:sz w:val="36"/>
          <w:szCs w:val="36"/>
        </w:rPr>
      </w:pPr>
    </w:p>
    <w:p w14:paraId="796377D8">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2023年度部门决算报表</w:t>
      </w:r>
    </w:p>
    <w:p w14:paraId="1681C313">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514378F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42A5082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39A02BB4">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6BB3039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五、一般公共预算财政拨款收入支出决算表</w:t>
      </w:r>
    </w:p>
    <w:p w14:paraId="5D9C581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六、一般公共预算财政拨款支出决算表</w:t>
      </w:r>
    </w:p>
    <w:p w14:paraId="2127FBC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七、一般公共预算财政拨款</w:t>
      </w:r>
      <w:r>
        <w:rPr>
          <w:rFonts w:ascii="仿宋_GB2312" w:hAnsi="仿宋" w:eastAsia="仿宋_GB2312" w:cs="宋体"/>
          <w:bCs/>
          <w:spacing w:val="40"/>
          <w:kern w:val="0"/>
          <w:sz w:val="32"/>
          <w:szCs w:val="32"/>
        </w:rPr>
        <w:t>基本支出决算表</w:t>
      </w:r>
    </w:p>
    <w:p w14:paraId="15F7C16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070BFAC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30F3026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十、国有资本经营预算财政拨款支出决算表</w:t>
      </w:r>
    </w:p>
    <w:p w14:paraId="4B3D1F0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十一、财政拨款“三公”经费支出决算表</w:t>
      </w:r>
    </w:p>
    <w:p w14:paraId="3DAC690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十二、政府采购情况表</w:t>
      </w:r>
    </w:p>
    <w:p w14:paraId="5F838DE4">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十三、政府购买服务决算公开情况表</w:t>
      </w:r>
    </w:p>
    <w:p w14:paraId="3D2B9F4D">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2023年度部门决算说明</w:t>
      </w:r>
    </w:p>
    <w:p w14:paraId="169468A2">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2023年度</w:t>
      </w:r>
      <w:r>
        <w:rPr>
          <w:rFonts w:hint="eastAsia" w:ascii="宋体" w:hAnsi="宋体" w:cs="宋体"/>
          <w:spacing w:val="40"/>
          <w:kern w:val="0"/>
          <w:sz w:val="32"/>
          <w:szCs w:val="32"/>
        </w:rPr>
        <w:t>其他重要事项的情况说明</w:t>
      </w:r>
    </w:p>
    <w:p w14:paraId="4BD89E7C">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2023年度部门绩效评价情况</w:t>
      </w:r>
    </w:p>
    <w:p w14:paraId="3B816352">
      <w:pPr>
        <w:tabs>
          <w:tab w:val="center" w:pos="6979"/>
        </w:tabs>
        <w:spacing w:before="156" w:beforeLines="50" w:after="156" w:afterLines="50"/>
        <w:jc w:val="center"/>
        <w:rPr>
          <w:rFonts w:ascii="宋体" w:hAnsi="宋体" w:cs="宋体"/>
          <w:b/>
          <w:bCs/>
          <w:spacing w:val="40"/>
          <w:kern w:val="0"/>
          <w:sz w:val="32"/>
          <w:szCs w:val="32"/>
        </w:rPr>
      </w:pPr>
    </w:p>
    <w:p w14:paraId="18F96BA7">
      <w:pPr>
        <w:tabs>
          <w:tab w:val="center" w:pos="6979"/>
        </w:tabs>
        <w:spacing w:before="156" w:beforeLines="50" w:after="156" w:afterLines="50"/>
        <w:jc w:val="center"/>
        <w:rPr>
          <w:rFonts w:ascii="宋体" w:hAnsi="宋体" w:cs="宋体"/>
          <w:b/>
          <w:bCs/>
          <w:spacing w:val="40"/>
          <w:kern w:val="0"/>
          <w:sz w:val="32"/>
          <w:szCs w:val="32"/>
        </w:rPr>
      </w:pPr>
    </w:p>
    <w:p w14:paraId="7DB17711">
      <w:pPr>
        <w:tabs>
          <w:tab w:val="center" w:pos="6979"/>
        </w:tabs>
        <w:spacing w:before="156" w:beforeLines="50" w:after="156" w:afterLines="50"/>
        <w:jc w:val="center"/>
        <w:rPr>
          <w:rFonts w:ascii="宋体" w:hAnsi="宋体" w:cs="宋体"/>
          <w:b/>
          <w:bCs/>
          <w:spacing w:val="40"/>
          <w:kern w:val="0"/>
          <w:sz w:val="32"/>
          <w:szCs w:val="32"/>
        </w:rPr>
      </w:pPr>
    </w:p>
    <w:p w14:paraId="44879DF7">
      <w:pPr>
        <w:tabs>
          <w:tab w:val="center" w:pos="6979"/>
        </w:tabs>
        <w:spacing w:before="156" w:beforeLines="50" w:after="156" w:afterLines="50"/>
        <w:jc w:val="center"/>
        <w:rPr>
          <w:rFonts w:ascii="宋体" w:hAnsi="宋体" w:cs="宋体"/>
          <w:b/>
          <w:bCs/>
          <w:spacing w:val="40"/>
          <w:kern w:val="0"/>
          <w:sz w:val="32"/>
          <w:szCs w:val="32"/>
        </w:rPr>
      </w:pPr>
    </w:p>
    <w:p w14:paraId="7CB70650">
      <w:pPr>
        <w:tabs>
          <w:tab w:val="center" w:pos="6979"/>
        </w:tabs>
        <w:spacing w:before="156" w:beforeLines="50" w:after="156" w:afterLines="50"/>
        <w:jc w:val="center"/>
        <w:rPr>
          <w:rFonts w:ascii="宋体" w:hAnsi="宋体" w:cs="宋体"/>
          <w:b/>
          <w:bCs/>
          <w:spacing w:val="40"/>
          <w:kern w:val="0"/>
          <w:sz w:val="32"/>
          <w:szCs w:val="32"/>
        </w:rPr>
      </w:pPr>
    </w:p>
    <w:p w14:paraId="2CC577A8">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2023年度部门决算报表</w:t>
      </w:r>
    </w:p>
    <w:p w14:paraId="7DA52EA7">
      <w:pPr>
        <w:pStyle w:val="3"/>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053BE386">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2023年度部门决算说明</w:t>
      </w:r>
    </w:p>
    <w:p w14:paraId="352B49DF">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一、单位基本情况</w:t>
      </w:r>
    </w:p>
    <w:p w14:paraId="4C743661">
      <w:pPr>
        <w:tabs>
          <w:tab w:val="center" w:pos="6979"/>
        </w:tabs>
        <w:spacing w:line="580" w:lineRule="exact"/>
        <w:ind w:firstLine="420" w:firstLineChars="150"/>
        <w:rPr>
          <w:rFonts w:ascii="仿宋_GB2312" w:eastAsia="仿宋_GB2312"/>
          <w:color w:val="FF0000"/>
          <w:sz w:val="28"/>
          <w:szCs w:val="28"/>
        </w:rPr>
      </w:pPr>
      <w:r>
        <w:rPr>
          <w:rFonts w:hint="eastAsia" w:ascii="仿宋_GB2312" w:eastAsia="仿宋_GB2312"/>
          <w:sz w:val="28"/>
          <w:szCs w:val="28"/>
        </w:rPr>
        <w:t>（一）机构</w:t>
      </w:r>
      <w:r>
        <w:rPr>
          <w:rFonts w:ascii="仿宋_GB2312" w:eastAsia="仿宋_GB2312"/>
          <w:sz w:val="28"/>
          <w:szCs w:val="28"/>
        </w:rPr>
        <w:t>设置、</w:t>
      </w:r>
      <w:r>
        <w:rPr>
          <w:rFonts w:hint="eastAsia" w:ascii="仿宋_GB2312" w:eastAsia="仿宋_GB2312"/>
          <w:sz w:val="28"/>
          <w:szCs w:val="28"/>
        </w:rPr>
        <w:t>职责</w:t>
      </w:r>
    </w:p>
    <w:p w14:paraId="578D3362">
      <w:pPr>
        <w:pStyle w:val="2"/>
        <w:ind w:firstLine="560"/>
        <w:rPr>
          <w:rFonts w:ascii="仿宋_GB2312" w:eastAsia="仿宋_GB2312"/>
          <w:sz w:val="28"/>
          <w:szCs w:val="28"/>
        </w:rPr>
      </w:pPr>
      <w:r>
        <w:rPr>
          <w:rFonts w:hint="eastAsia" w:ascii="仿宋_GB2312" w:eastAsia="仿宋_GB2312"/>
          <w:sz w:val="28"/>
          <w:szCs w:val="28"/>
        </w:rPr>
        <w:t>北京农学院内设37个机构，分别为：党政办公室(党委巡察办公室)、党委组织部（党委统战部、党校）、党委宣传部、纪检监察办公室、党委教师工作部（人事处）、党委学生工作部（党委武装部、学生处）、党委安全稳定工作部（安全稳定工作处）、教务处、研究生院、科学技术处、社会服务处、资产与实验室管理处、财务处、后勤基建处、审计处、离退休工作处、国际合作与交流处（港澳台办公室）、校办产业处、工会、团委、生物与资源环境学院、植物科学技术学院、动物科学技术学院、经济管理学院、园林学院、食品科学与工程学院、智能科学与工程学院、文法与城乡发展学院、国际学院、马克思主义学院、继续教育学院（乡村振兴学院）、基础教学部、外语教学部、体育教学部、网络与信息中心、图书馆(档案馆)、校医院。</w:t>
      </w:r>
    </w:p>
    <w:p w14:paraId="5CE46939">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（二）人员构成情况</w:t>
      </w:r>
    </w:p>
    <w:p w14:paraId="1C04B3A9">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行政编制0人，实有人数0人；事业编制843人，实有人数789人。学生人数9</w:t>
      </w:r>
      <w:r>
        <w:rPr>
          <w:rFonts w:ascii="仿宋_GB2312" w:eastAsia="仿宋_GB2312"/>
          <w:kern w:val="0"/>
          <w:sz w:val="28"/>
          <w:szCs w:val="28"/>
        </w:rPr>
        <w:t>141</w:t>
      </w:r>
      <w:r>
        <w:rPr>
          <w:rFonts w:hint="eastAsia" w:ascii="仿宋_GB2312" w:eastAsia="仿宋_GB2312"/>
          <w:kern w:val="0"/>
          <w:sz w:val="28"/>
          <w:szCs w:val="28"/>
        </w:rPr>
        <w:t>人。</w:t>
      </w:r>
    </w:p>
    <w:p w14:paraId="51468FAE">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16ACF0BF">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80194.48</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10813.33万元，增长15.59%。</w:t>
      </w:r>
    </w:p>
    <w:p w14:paraId="14234B42">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272D7F12">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2023年度本年收入合计</w:t>
      </w:r>
      <w:bookmarkStart w:id="0" w:name="OLE_LINK1"/>
      <w:r>
        <w:rPr>
          <w:rFonts w:hint="eastAsia" w:ascii="仿宋_GB2312" w:eastAsia="仿宋_GB2312"/>
          <w:sz w:val="28"/>
          <w:szCs w:val="28"/>
        </w:rPr>
        <w:t>68361</w:t>
      </w:r>
      <w:bookmarkEnd w:id="0"/>
      <w:r>
        <w:rPr>
          <w:rFonts w:hint="eastAsia" w:ascii="仿宋_GB2312" w:eastAsia="仿宋_GB2312"/>
          <w:sz w:val="28"/>
          <w:szCs w:val="28"/>
        </w:rPr>
        <w:t>.00万元，比上年增加10296.98万元，增长17.73%。</w:t>
      </w:r>
    </w:p>
    <w:p w14:paraId="4A2B21A0">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1.财政拨款收入</w:t>
      </w:r>
      <w:bookmarkStart w:id="1" w:name="OLE_LINK2"/>
      <w:r>
        <w:rPr>
          <w:rFonts w:hint="eastAsia" w:ascii="仿宋_GB2312" w:eastAsia="仿宋_GB2312"/>
          <w:sz w:val="28"/>
          <w:szCs w:val="28"/>
        </w:rPr>
        <w:t>51106.79</w:t>
      </w:r>
      <w:bookmarkEnd w:id="1"/>
      <w:r>
        <w:rPr>
          <w:rFonts w:hint="eastAsia" w:ascii="仿宋_GB2312" w:eastAsia="仿宋_GB2312"/>
          <w:sz w:val="28"/>
          <w:szCs w:val="28"/>
        </w:rPr>
        <w:t>万元，占收入合计的74.76%。其中：一般公共预算财政拨款收入51106.79万元，占收入合计的74.76%；政府性基金预算财政拨款收入0.00万元，占收入合计的0.00%；国有资本经营预算财政拨款收入0.00万元，占收入合计的0.00%；</w:t>
      </w:r>
    </w:p>
    <w:p w14:paraId="2DA5B609">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2.上级补助收入0.00万元，占收入合计的0.00%；</w:t>
      </w:r>
    </w:p>
    <w:p w14:paraId="72358685">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bookmarkStart w:id="2" w:name="OLE_LINK3"/>
      <w:r>
        <w:rPr>
          <w:rFonts w:hint="eastAsia" w:ascii="仿宋_GB2312" w:eastAsia="仿宋_GB2312"/>
          <w:sz w:val="28"/>
          <w:szCs w:val="28"/>
        </w:rPr>
        <w:t>9944.57</w:t>
      </w:r>
      <w:bookmarkEnd w:id="2"/>
      <w:r>
        <w:rPr>
          <w:rFonts w:hint="eastAsia" w:ascii="仿宋_GB2312" w:eastAsia="仿宋_GB2312"/>
          <w:sz w:val="28"/>
          <w:szCs w:val="28"/>
        </w:rPr>
        <w:t>万元，占收入合计的14.55%；</w:t>
      </w:r>
    </w:p>
    <w:p w14:paraId="4B785BF2">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bookmarkStart w:id="3" w:name="OLE_LINK4"/>
      <w:r>
        <w:rPr>
          <w:rFonts w:hint="eastAsia" w:ascii="仿宋_GB2312" w:eastAsia="仿宋_GB2312"/>
          <w:sz w:val="28"/>
          <w:szCs w:val="28"/>
        </w:rPr>
        <w:t>905.11</w:t>
      </w:r>
      <w:bookmarkEnd w:id="3"/>
      <w:r>
        <w:rPr>
          <w:rFonts w:hint="eastAsia" w:ascii="仿宋_GB2312" w:eastAsia="仿宋_GB2312"/>
          <w:sz w:val="28"/>
          <w:szCs w:val="28"/>
        </w:rPr>
        <w:t>万元，占收入合计的1.32%；</w:t>
      </w:r>
    </w:p>
    <w:p w14:paraId="16FF12FD">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5.附属单位上缴收入0.00万元，占收入合计的0.00%；</w:t>
      </w:r>
    </w:p>
    <w:p w14:paraId="3E9A877A">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bookmarkStart w:id="4" w:name="OLE_LINK5"/>
      <w:r>
        <w:rPr>
          <w:rFonts w:hint="eastAsia" w:ascii="仿宋_GB2312" w:eastAsia="仿宋_GB2312"/>
          <w:sz w:val="28"/>
          <w:szCs w:val="28"/>
        </w:rPr>
        <w:t>6404.53</w:t>
      </w:r>
      <w:bookmarkEnd w:id="4"/>
      <w:r>
        <w:rPr>
          <w:rFonts w:hint="eastAsia" w:ascii="仿宋_GB2312" w:eastAsia="仿宋_GB2312"/>
          <w:sz w:val="28"/>
          <w:szCs w:val="28"/>
        </w:rPr>
        <w:t>万元，占收入合计的9.37%。</w:t>
      </w:r>
    </w:p>
    <w:p w14:paraId="05B1D020">
      <w:pPr>
        <w:pStyle w:val="3"/>
        <w:jc w:val="center"/>
      </w:pPr>
      <w:r>
        <w:rPr>
          <w:rFonts w:hint="eastAsia" w:ascii="仿宋_GB2312" w:eastAsia="仿宋_GB2312"/>
          <w:color w:val="000000"/>
          <w:sz w:val="32"/>
        </w:rPr>
        <w:t>图1：收入决算</w:t>
      </w:r>
    </w:p>
    <w:p w14:paraId="2B61A38E">
      <w:pPr>
        <w:jc w:val="center"/>
      </w:pPr>
      <w:r>
        <w:drawing>
          <wp:inline distT="0" distB="0" distL="0" distR="0">
            <wp:extent cx="4838065" cy="275209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838065" cy="2752090"/>
                    </a:xfrm>
                    <a:prstGeom prst="rect">
                      <a:avLst/>
                    </a:prstGeom>
                    <a:noFill/>
                  </pic:spPr>
                </pic:pic>
              </a:graphicData>
            </a:graphic>
          </wp:inline>
        </w:drawing>
      </w:r>
    </w:p>
    <w:p w14:paraId="7E441DBA">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181EF7BE">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2023年度本年支出合计</w:t>
      </w:r>
      <w:bookmarkStart w:id="5" w:name="OLE_LINK6"/>
      <w:r>
        <w:rPr>
          <w:rFonts w:ascii="仿宋_GB2312" w:eastAsia="仿宋_GB2312"/>
          <w:sz w:val="28"/>
          <w:szCs w:val="28"/>
        </w:rPr>
        <w:t>67307.62</w:t>
      </w:r>
      <w:bookmarkEnd w:id="5"/>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9793.62万元，增长17.03%，其中：基本支出</w:t>
      </w:r>
      <w:bookmarkStart w:id="6" w:name="OLE_LINK7"/>
      <w:r>
        <w:rPr>
          <w:rFonts w:ascii="仿宋_GB2312" w:eastAsia="仿宋_GB2312"/>
          <w:sz w:val="28"/>
          <w:szCs w:val="28"/>
        </w:rPr>
        <w:t>55214.97</w:t>
      </w:r>
      <w:bookmarkEnd w:id="6"/>
      <w:r>
        <w:rPr>
          <w:rFonts w:hint="eastAsia" w:ascii="仿宋_GB2312" w:eastAsia="仿宋_GB2312"/>
          <w:sz w:val="28"/>
          <w:szCs w:val="28"/>
        </w:rPr>
        <w:t>万元，占支出合计的</w:t>
      </w:r>
      <w:r>
        <w:rPr>
          <w:rFonts w:ascii="仿宋_GB2312" w:eastAsia="仿宋_GB2312"/>
          <w:sz w:val="28"/>
          <w:szCs w:val="28"/>
        </w:rPr>
        <w:t>82.03</w:t>
      </w:r>
      <w:r>
        <w:rPr>
          <w:rFonts w:hint="eastAsia" w:ascii="仿宋_GB2312" w:eastAsia="仿宋_GB2312"/>
          <w:sz w:val="28"/>
          <w:szCs w:val="28"/>
        </w:rPr>
        <w:t>%；项目支出</w:t>
      </w:r>
      <w:bookmarkStart w:id="7" w:name="OLE_LINK8"/>
      <w:r>
        <w:rPr>
          <w:rFonts w:ascii="仿宋_GB2312" w:eastAsia="仿宋_GB2312"/>
          <w:sz w:val="28"/>
          <w:szCs w:val="28"/>
        </w:rPr>
        <w:t>11193.57</w:t>
      </w:r>
      <w:bookmarkEnd w:id="7"/>
      <w:r>
        <w:rPr>
          <w:rFonts w:hint="eastAsia" w:ascii="仿宋_GB2312" w:eastAsia="仿宋_GB2312"/>
          <w:sz w:val="28"/>
          <w:szCs w:val="28"/>
        </w:rPr>
        <w:t>万元，占支出合计的</w:t>
      </w:r>
      <w:r>
        <w:rPr>
          <w:rFonts w:ascii="仿宋_GB2312" w:eastAsia="仿宋_GB2312"/>
          <w:sz w:val="28"/>
          <w:szCs w:val="28"/>
        </w:rPr>
        <w:t>16.63</w:t>
      </w:r>
      <w:r>
        <w:rPr>
          <w:rFonts w:hint="eastAsia" w:ascii="仿宋_GB2312" w:eastAsia="仿宋_GB2312"/>
          <w:sz w:val="28"/>
          <w:szCs w:val="28"/>
        </w:rPr>
        <w:t>%;上缴上级支出0.00万元，占支出合计的0.00%；经营支出</w:t>
      </w:r>
      <w:bookmarkStart w:id="8" w:name="OLE_LINK9"/>
      <w:r>
        <w:rPr>
          <w:rFonts w:ascii="仿宋_GB2312" w:eastAsia="仿宋_GB2312"/>
          <w:sz w:val="28"/>
          <w:szCs w:val="28"/>
        </w:rPr>
        <w:t>899.08</w:t>
      </w:r>
      <w:bookmarkEnd w:id="8"/>
      <w:r>
        <w:rPr>
          <w:rFonts w:hint="eastAsia" w:ascii="仿宋_GB2312" w:eastAsia="仿宋_GB2312"/>
          <w:sz w:val="28"/>
          <w:szCs w:val="28"/>
        </w:rPr>
        <w:t>万元，占支出合计的</w:t>
      </w:r>
      <w:r>
        <w:rPr>
          <w:rFonts w:ascii="仿宋_GB2312" w:eastAsia="仿宋_GB2312"/>
          <w:sz w:val="28"/>
          <w:szCs w:val="28"/>
        </w:rPr>
        <w:t>1.3</w:t>
      </w:r>
      <w:r>
        <w:rPr>
          <w:rFonts w:hint="eastAsia" w:ascii="仿宋_GB2312" w:eastAsia="仿宋_GB2312"/>
          <w:sz w:val="28"/>
          <w:szCs w:val="28"/>
        </w:rPr>
        <w:t>4%；对附属单位补助支出0.00万元，占支出合计的0.00%。</w:t>
      </w:r>
    </w:p>
    <w:p w14:paraId="1DF9AA54">
      <w:pPr>
        <w:pStyle w:val="3"/>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71CAF515">
      <w:pPr>
        <w:jc w:val="center"/>
        <w:rPr>
          <w:rFonts w:ascii="黑体" w:eastAsia="黑体"/>
          <w:b/>
          <w:sz w:val="28"/>
          <w:szCs w:val="28"/>
        </w:rPr>
      </w:pPr>
      <w:r>
        <w:rPr>
          <w:rFonts w:ascii="黑体" w:eastAsia="黑体"/>
          <w:b/>
          <w:sz w:val="28"/>
          <w:szCs w:val="28"/>
        </w:rPr>
        <w:drawing>
          <wp:inline distT="0" distB="0" distL="0" distR="0">
            <wp:extent cx="4580890" cy="27520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580890" cy="2752090"/>
                    </a:xfrm>
                    <a:prstGeom prst="rect">
                      <a:avLst/>
                    </a:prstGeom>
                    <a:noFill/>
                  </pic:spPr>
                </pic:pic>
              </a:graphicData>
            </a:graphic>
          </wp:inline>
        </w:drawing>
      </w:r>
    </w:p>
    <w:p w14:paraId="2B1F2D9C">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3517DD3D">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2023年度财政拨款收、</w:t>
      </w:r>
      <w:r>
        <w:rPr>
          <w:rFonts w:ascii="仿宋_GB2312" w:eastAsia="仿宋_GB2312"/>
          <w:sz w:val="28"/>
          <w:szCs w:val="28"/>
        </w:rPr>
        <w:t>支</w:t>
      </w:r>
      <w:r>
        <w:rPr>
          <w:rFonts w:hint="eastAsia" w:ascii="仿宋_GB2312" w:eastAsia="仿宋_GB2312"/>
          <w:sz w:val="28"/>
          <w:szCs w:val="28"/>
        </w:rPr>
        <w:t>总计</w:t>
      </w:r>
      <w:bookmarkStart w:id="9" w:name="OLE_LINK10"/>
      <w:r>
        <w:rPr>
          <w:rFonts w:ascii="仿宋_GB2312" w:eastAsia="仿宋_GB2312"/>
          <w:sz w:val="28"/>
          <w:szCs w:val="28"/>
        </w:rPr>
        <w:t>52174.13</w:t>
      </w:r>
      <w:bookmarkEnd w:id="9"/>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rPr>
        <w:t>2619.81 万元，增长5.29%。主要原因：根据事业发展规划增加项目支出。</w:t>
      </w:r>
    </w:p>
    <w:p w14:paraId="5A43C741">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107EAD79">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14:paraId="79C9F039">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2023年度一般公共预算财政拨款支出</w:t>
      </w:r>
      <w:bookmarkStart w:id="10" w:name="OLE_LINK11"/>
      <w:r>
        <w:rPr>
          <w:rFonts w:hint="eastAsia" w:ascii="仿宋_GB2312" w:eastAsia="仿宋_GB2312"/>
          <w:sz w:val="28"/>
          <w:szCs w:val="28"/>
        </w:rPr>
        <w:t>51247.22</w:t>
      </w:r>
      <w:bookmarkEnd w:id="10"/>
      <w:r>
        <w:rPr>
          <w:rFonts w:hint="eastAsia" w:ascii="仿宋_GB2312" w:eastAsia="仿宋_GB2312"/>
          <w:sz w:val="28"/>
          <w:szCs w:val="28"/>
        </w:rPr>
        <w:t>万元，主要用于以下方面（按大类）：教育支出50597.48 万元，占本年财政拨款支出98.73%；科学技术支出649.74 万元，占本年财政拨款支出1.27%。</w:t>
      </w:r>
    </w:p>
    <w:p w14:paraId="677C130C">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（二）一般公共预算财政拨款支出决算具体情况</w:t>
      </w:r>
    </w:p>
    <w:p w14:paraId="3C352152">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1、“教育支出”（类）2023年度决算50597.48万元，比2023年度年初预算减少733.59 万元，下降1.43%。其中：</w:t>
      </w:r>
    </w:p>
    <w:p w14:paraId="2A4455A4">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“普通教育”（款）2023年度决算50597.48 万元，比2023年度年初预算减少733.59 万元，下降1.43%。主要原因：根据事业发展规划减少项目支出。</w:t>
      </w:r>
    </w:p>
    <w:p w14:paraId="52032133">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2、“科学技术支出”(类)2023年度决算649.74 万元，比2023年度年初预算减少17.80 万元，下降2.67%。其中：</w:t>
      </w:r>
    </w:p>
    <w:p w14:paraId="292AE68C">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“技术研究与开发”（款）2023年度决算649.74万元，比2023年度年初预算减少17.80 万元，下降2.67%。主要原因：根据事业发展规划减少项目支出。</w:t>
      </w:r>
    </w:p>
    <w:p w14:paraId="302E0F18">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14:paraId="7249F498">
      <w:pPr>
        <w:ind w:firstLine="537" w:firstLineChars="192"/>
        <w:rPr>
          <w:rFonts w:ascii="仿宋_GB2312" w:eastAsia="仿宋_GB2312"/>
          <w:sz w:val="28"/>
          <w:szCs w:val="28"/>
        </w:rPr>
      </w:pPr>
      <w:r>
        <w:rPr>
          <w:rFonts w:hint="eastAsia" w:ascii="仿宋_GB2312" w:eastAsia="仿宋_GB2312"/>
          <w:sz w:val="28"/>
          <w:szCs w:val="28"/>
        </w:rPr>
        <w:t>本年度无此项支出。</w:t>
      </w:r>
    </w:p>
    <w:p w14:paraId="6807E063">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05FFB0B7">
      <w:pPr>
        <w:spacing w:line="580" w:lineRule="exact"/>
        <w:ind w:firstLine="548" w:firstLineChars="196"/>
        <w:rPr>
          <w:rFonts w:ascii="仿宋_GB2312" w:eastAsia="仿宋_GB2312"/>
          <w:sz w:val="28"/>
          <w:szCs w:val="28"/>
        </w:rPr>
      </w:pPr>
      <w:r>
        <w:rPr>
          <w:rFonts w:hint="eastAsia" w:ascii="仿宋_GB2312" w:eastAsia="仿宋_GB2312"/>
          <w:sz w:val="28"/>
          <w:szCs w:val="28"/>
        </w:rPr>
        <w:t>本年度无此项经费。</w:t>
      </w:r>
    </w:p>
    <w:p w14:paraId="354846FB">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14:paraId="481D5B1E">
      <w:pPr>
        <w:tabs>
          <w:tab w:val="center" w:pos="6979"/>
        </w:tabs>
        <w:spacing w:line="580" w:lineRule="exact"/>
        <w:ind w:firstLine="548" w:firstLineChars="196"/>
        <w:rPr>
          <w:rFonts w:ascii="仿宋_GB2312" w:eastAsia="仿宋_GB2312"/>
          <w:sz w:val="28"/>
          <w:szCs w:val="28"/>
        </w:rPr>
      </w:pPr>
      <w:r>
        <w:rPr>
          <w:rFonts w:hint="eastAsia" w:ascii="仿宋_GB2312" w:eastAsia="仿宋_GB2312"/>
          <w:sz w:val="28"/>
          <w:szCs w:val="28"/>
        </w:rPr>
        <w:t>2023年度使用一般公共预算财政拨款安排基本支出</w:t>
      </w:r>
      <w:r>
        <w:rPr>
          <w:rFonts w:ascii="仿宋_GB2312" w:eastAsia="仿宋_GB2312"/>
          <w:sz w:val="28"/>
          <w:szCs w:val="28"/>
        </w:rPr>
        <w:t>44376.11</w:t>
      </w:r>
      <w:r>
        <w:rPr>
          <w:rFonts w:hint="eastAsia" w:ascii="仿宋_GB2312" w:eastAsia="仿宋_GB2312"/>
          <w:sz w:val="28"/>
          <w:szCs w:val="28"/>
        </w:rPr>
        <w:t>万元，使用政府性基金财政拨款安排基本支出0.00万元，其中：（1）工资福利支出包括基本工资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5505DBD0">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rPr>
        <w:t>2023年度</w:t>
      </w:r>
      <w:r>
        <w:rPr>
          <w:rFonts w:hint="eastAsia" w:ascii="宋体" w:hAnsi="宋体" w:cs="宋体"/>
          <w:b/>
          <w:spacing w:val="40"/>
          <w:kern w:val="0"/>
          <w:sz w:val="32"/>
          <w:szCs w:val="32"/>
        </w:rPr>
        <w:t>其他重要事项的情况说明</w:t>
      </w:r>
    </w:p>
    <w:p w14:paraId="5CDED569">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14:paraId="517D2FAB">
      <w:pPr>
        <w:spacing w:line="560" w:lineRule="exact"/>
        <w:ind w:firstLine="600"/>
        <w:rPr>
          <w:rFonts w:ascii="仿宋_GB2312" w:eastAsia="仿宋_GB2312"/>
          <w:sz w:val="28"/>
          <w:szCs w:val="28"/>
        </w:rPr>
      </w:pPr>
      <w:r>
        <w:rPr>
          <w:rFonts w:hint="eastAsia" w:ascii="仿宋_GB2312" w:eastAsia="仿宋_GB2312"/>
          <w:sz w:val="28"/>
          <w:szCs w:val="28"/>
        </w:rPr>
        <w:t>“三公”经费包括本单位所属</w:t>
      </w:r>
      <w:r>
        <w:rPr>
          <w:rFonts w:hint="eastAsia" w:ascii="仿宋_GB2312" w:eastAsia="仿宋_GB2312"/>
          <w:bCs/>
          <w:sz w:val="28"/>
          <w:szCs w:val="28"/>
        </w:rPr>
        <w:t>0</w:t>
      </w:r>
      <w:r>
        <w:rPr>
          <w:rFonts w:hint="eastAsia" w:ascii="仿宋_GB2312" w:eastAsia="仿宋_GB2312"/>
          <w:sz w:val="28"/>
          <w:szCs w:val="28"/>
        </w:rPr>
        <w:t>个行政单位、0个</w:t>
      </w:r>
      <w:r>
        <w:rPr>
          <w:rFonts w:ascii="仿宋_GB2312" w:eastAsia="仿宋_GB2312"/>
          <w:sz w:val="28"/>
          <w:szCs w:val="28"/>
        </w:rPr>
        <w:t>参</w:t>
      </w:r>
      <w:r>
        <w:rPr>
          <w:rFonts w:hint="eastAsia" w:ascii="仿宋_GB2312" w:eastAsia="仿宋_GB2312"/>
          <w:sz w:val="28"/>
          <w:szCs w:val="28"/>
        </w:rPr>
        <w:t>照</w:t>
      </w:r>
      <w:r>
        <w:rPr>
          <w:rFonts w:ascii="仿宋_GB2312" w:eastAsia="仿宋_GB2312"/>
          <w:sz w:val="28"/>
          <w:szCs w:val="28"/>
        </w:rPr>
        <w:t>公务员法管理事业单位</w:t>
      </w:r>
      <w:r>
        <w:rPr>
          <w:rFonts w:hint="eastAsia" w:ascii="仿宋_GB2312" w:eastAsia="仿宋_GB2312"/>
          <w:sz w:val="28"/>
          <w:szCs w:val="28"/>
        </w:rPr>
        <w:t>、</w:t>
      </w:r>
      <w:r>
        <w:rPr>
          <w:rFonts w:hint="eastAsia" w:ascii="仿宋_GB2312" w:eastAsia="仿宋_GB2312"/>
          <w:bCs/>
          <w:sz w:val="28"/>
          <w:szCs w:val="28"/>
        </w:rPr>
        <w:t>1个</w:t>
      </w:r>
      <w:r>
        <w:rPr>
          <w:rFonts w:hint="eastAsia" w:ascii="仿宋_GB2312" w:eastAsia="仿宋_GB2312"/>
          <w:sz w:val="28"/>
          <w:szCs w:val="28"/>
        </w:rPr>
        <w:t>事业单位。2023年度“三公”经费财政拨款决算数</w:t>
      </w:r>
      <w:r>
        <w:rPr>
          <w:rFonts w:ascii="仿宋_GB2312" w:eastAsia="仿宋_GB2312"/>
          <w:sz w:val="28"/>
          <w:szCs w:val="28"/>
        </w:rPr>
        <w:t>54.38</w:t>
      </w:r>
      <w:r>
        <w:rPr>
          <w:rFonts w:hint="eastAsia" w:ascii="仿宋_GB2312" w:eastAsia="仿宋_GB2312"/>
          <w:sz w:val="28"/>
          <w:szCs w:val="28"/>
        </w:rPr>
        <w:t>万元，与2023年度“三公”经费财政拨款年初预算数持平。其中：</w:t>
      </w:r>
    </w:p>
    <w:p w14:paraId="48CBB626">
      <w:pPr>
        <w:spacing w:line="560" w:lineRule="exact"/>
        <w:ind w:firstLine="600"/>
        <w:rPr>
          <w:rFonts w:ascii="仿宋_GB2312" w:eastAsia="仿宋_GB2312"/>
          <w:sz w:val="28"/>
          <w:szCs w:val="28"/>
          <w:highlight w:val="none"/>
        </w:rPr>
      </w:pPr>
      <w:r>
        <w:rPr>
          <w:rFonts w:hint="eastAsia" w:ascii="仿宋_GB2312" w:eastAsia="仿宋_GB2312"/>
          <w:sz w:val="28"/>
          <w:szCs w:val="28"/>
        </w:rPr>
        <w:t>1.因公出国（境）费用。2023年度决算数0.00万元，</w:t>
      </w:r>
      <w:r>
        <w:rPr>
          <w:rFonts w:hint="eastAsia" w:ascii="仿宋_GB2312" w:eastAsia="仿宋_GB2312"/>
          <w:sz w:val="28"/>
          <w:szCs w:val="28"/>
          <w:highlight w:val="none"/>
        </w:rPr>
        <w:t>与2023年</w:t>
      </w:r>
      <w:r>
        <w:rPr>
          <w:rFonts w:hint="eastAsia" w:ascii="仿宋_GB2312" w:eastAsia="仿宋_GB2312"/>
          <w:sz w:val="28"/>
          <w:szCs w:val="28"/>
          <w:highlight w:val="none"/>
          <w:lang w:eastAsia="zh-CN"/>
        </w:rPr>
        <w:t>度</w:t>
      </w:r>
      <w:r>
        <w:rPr>
          <w:rFonts w:hint="eastAsia" w:ascii="仿宋_GB2312" w:eastAsia="仿宋_GB2312"/>
          <w:sz w:val="28"/>
          <w:szCs w:val="28"/>
          <w:highlight w:val="none"/>
        </w:rPr>
        <w:t>年初预算数持平。2023年度组织因公出国（境）团组0个、0人次，人均因公出国（境）费用0.00万元。</w:t>
      </w:r>
    </w:p>
    <w:p w14:paraId="46914BD1">
      <w:pPr>
        <w:spacing w:line="560" w:lineRule="exact"/>
        <w:ind w:firstLine="600"/>
        <w:rPr>
          <w:rFonts w:ascii="仿宋_GB2312" w:eastAsia="仿宋_GB2312"/>
          <w:sz w:val="28"/>
          <w:szCs w:val="28"/>
          <w:highlight w:val="none"/>
        </w:rPr>
      </w:pPr>
      <w:r>
        <w:rPr>
          <w:rFonts w:hint="eastAsia" w:ascii="仿宋_GB2312" w:eastAsia="仿宋_GB2312"/>
          <w:sz w:val="28"/>
          <w:szCs w:val="28"/>
          <w:highlight w:val="none"/>
        </w:rPr>
        <w:t>2.公务接待费。2023年度决算数0.00万元，与2023年</w:t>
      </w:r>
      <w:r>
        <w:rPr>
          <w:rFonts w:hint="eastAsia" w:ascii="仿宋_GB2312" w:eastAsia="仿宋_GB2312"/>
          <w:sz w:val="28"/>
          <w:szCs w:val="28"/>
          <w:highlight w:val="none"/>
          <w:lang w:eastAsia="zh-CN"/>
        </w:rPr>
        <w:t>度</w:t>
      </w:r>
      <w:r>
        <w:rPr>
          <w:rFonts w:hint="eastAsia" w:ascii="仿宋_GB2312" w:eastAsia="仿宋_GB2312"/>
          <w:sz w:val="28"/>
          <w:szCs w:val="28"/>
          <w:highlight w:val="none"/>
        </w:rPr>
        <w:t>年初预算数持平。公务接待0批次，公务接待0人次。</w:t>
      </w:r>
    </w:p>
    <w:p w14:paraId="103BDB4C">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3.公务用车购置及运行维护费。2023年度决算数54.38万元，与2023年</w:t>
      </w:r>
      <w:r>
        <w:rPr>
          <w:rFonts w:hint="eastAsia" w:ascii="仿宋_GB2312" w:eastAsia="仿宋_GB2312"/>
          <w:sz w:val="28"/>
          <w:szCs w:val="28"/>
          <w:highlight w:val="none"/>
          <w:lang w:eastAsia="zh-CN"/>
        </w:rPr>
        <w:t>度</w:t>
      </w:r>
      <w:r>
        <w:rPr>
          <w:rFonts w:hint="eastAsia" w:ascii="仿宋_GB2312" w:eastAsia="仿宋_GB2312"/>
          <w:sz w:val="28"/>
          <w:szCs w:val="28"/>
          <w:highlight w:val="none"/>
        </w:rPr>
        <w:t>年初预算数持平。</w:t>
      </w:r>
    </w:p>
    <w:p w14:paraId="4797C8FE">
      <w:pPr>
        <w:spacing w:line="560" w:lineRule="exact"/>
        <w:ind w:firstLine="560" w:firstLineChars="200"/>
        <w:rPr>
          <w:rFonts w:ascii="仿宋_GB2312" w:eastAsia="仿宋_GB2312"/>
          <w:sz w:val="28"/>
          <w:szCs w:val="28"/>
        </w:rPr>
      </w:pPr>
      <w:r>
        <w:rPr>
          <w:rFonts w:hint="eastAsia" w:ascii="仿宋_GB2312" w:eastAsia="仿宋_GB2312"/>
          <w:sz w:val="28"/>
          <w:szCs w:val="28"/>
          <w:highlight w:val="none"/>
        </w:rPr>
        <w:t>其中，公务用车购置费2023年度决算数48.98万元，与2023年</w:t>
      </w:r>
      <w:r>
        <w:rPr>
          <w:rFonts w:hint="eastAsia" w:ascii="仿宋_GB2312" w:eastAsia="仿宋_GB2312"/>
          <w:sz w:val="28"/>
          <w:szCs w:val="28"/>
          <w:highlight w:val="none"/>
          <w:lang w:eastAsia="zh-CN"/>
        </w:rPr>
        <w:t>度</w:t>
      </w:r>
      <w:r>
        <w:rPr>
          <w:rFonts w:hint="eastAsia" w:ascii="仿宋_GB2312" w:eastAsia="仿宋_GB2312"/>
          <w:sz w:val="28"/>
          <w:szCs w:val="28"/>
          <w:highlight w:val="none"/>
        </w:rPr>
        <w:t>年初预算数持平。2023年度购置（更新）1辆，车均购置费48.98万元。公务用车运行维护费2023年度决算数</w:t>
      </w:r>
      <w:r>
        <w:rPr>
          <w:rFonts w:ascii="仿宋_GB2312" w:eastAsia="仿宋_GB2312"/>
          <w:sz w:val="28"/>
          <w:szCs w:val="28"/>
          <w:highlight w:val="none"/>
        </w:rPr>
        <w:t>5.4</w:t>
      </w:r>
      <w:r>
        <w:rPr>
          <w:rFonts w:hint="eastAsia" w:ascii="仿宋_GB2312" w:eastAsia="仿宋_GB2312"/>
          <w:sz w:val="28"/>
          <w:szCs w:val="28"/>
          <w:highlight w:val="none"/>
        </w:rPr>
        <w:t>0万元，与2023年</w:t>
      </w:r>
      <w:r>
        <w:rPr>
          <w:rFonts w:hint="eastAsia" w:ascii="仿宋_GB2312" w:eastAsia="仿宋_GB2312"/>
          <w:sz w:val="28"/>
          <w:szCs w:val="28"/>
          <w:highlight w:val="none"/>
          <w:lang w:eastAsia="zh-CN"/>
        </w:rPr>
        <w:t>度</w:t>
      </w:r>
      <w:r>
        <w:rPr>
          <w:rFonts w:hint="eastAsia" w:ascii="仿宋_GB2312" w:eastAsia="仿宋_GB2312"/>
          <w:sz w:val="28"/>
          <w:szCs w:val="28"/>
          <w:highlight w:val="none"/>
        </w:rPr>
        <w:t>年初预算数持平。2023年度公务用车运行维护费中，公务用车加油3.51万元，公务用车维修1.22万元，公务用车保险0.</w:t>
      </w:r>
      <w:r>
        <w:rPr>
          <w:rFonts w:hint="eastAsia" w:ascii="仿宋_GB2312" w:eastAsia="仿宋_GB2312"/>
          <w:sz w:val="28"/>
          <w:szCs w:val="28"/>
        </w:rPr>
        <w:t>54万元，公务用车其他支出0.13万元。2023年度公务用车保有量1</w:t>
      </w:r>
      <w:r>
        <w:rPr>
          <w:rFonts w:ascii="仿宋_GB2312" w:eastAsia="仿宋_GB2312"/>
          <w:sz w:val="28"/>
          <w:szCs w:val="28"/>
        </w:rPr>
        <w:t>1</w:t>
      </w:r>
      <w:r>
        <w:rPr>
          <w:rFonts w:hint="eastAsia" w:ascii="仿宋_GB2312" w:eastAsia="仿宋_GB2312"/>
          <w:sz w:val="28"/>
          <w:szCs w:val="28"/>
        </w:rPr>
        <w:t>辆，车均运行维护费0.</w:t>
      </w:r>
      <w:r>
        <w:rPr>
          <w:rFonts w:ascii="仿宋_GB2312" w:eastAsia="仿宋_GB2312"/>
          <w:sz w:val="28"/>
          <w:szCs w:val="28"/>
        </w:rPr>
        <w:t>49</w:t>
      </w:r>
      <w:r>
        <w:rPr>
          <w:rFonts w:hint="eastAsia" w:ascii="仿宋_GB2312" w:eastAsia="仿宋_GB2312"/>
          <w:sz w:val="28"/>
          <w:szCs w:val="28"/>
        </w:rPr>
        <w:t>万元。</w:t>
      </w:r>
    </w:p>
    <w:p w14:paraId="482AB011">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bookmarkStart w:id="11" w:name="_GoBack"/>
      <w:bookmarkEnd w:id="11"/>
    </w:p>
    <w:p w14:paraId="3E36520B">
      <w:pPr>
        <w:ind w:left="540"/>
        <w:rPr>
          <w:rFonts w:ascii="仿宋_GB2312" w:eastAsia="仿宋_GB2312"/>
          <w:sz w:val="28"/>
          <w:szCs w:val="28"/>
        </w:rPr>
      </w:pPr>
      <w:r>
        <w:rPr>
          <w:rFonts w:hint="eastAsia" w:ascii="仿宋_GB2312" w:eastAsia="仿宋_GB2312"/>
          <w:sz w:val="28"/>
          <w:szCs w:val="28"/>
        </w:rPr>
        <w:t>不属于机关运行经费统计范围。</w:t>
      </w:r>
    </w:p>
    <w:p w14:paraId="08EAA4F7">
      <w:pPr>
        <w:ind w:left="540"/>
        <w:rPr>
          <w:rFonts w:ascii="黑体" w:eastAsia="黑体"/>
          <w:sz w:val="28"/>
          <w:szCs w:val="28"/>
        </w:rPr>
      </w:pPr>
      <w:r>
        <w:rPr>
          <w:rFonts w:hint="eastAsia" w:ascii="黑体" w:eastAsia="黑体"/>
          <w:sz w:val="28"/>
          <w:szCs w:val="28"/>
        </w:rPr>
        <w:t>三、政府采购支出情况</w:t>
      </w:r>
    </w:p>
    <w:p w14:paraId="224E6CD9">
      <w:pPr>
        <w:ind w:firstLine="537" w:firstLineChars="192"/>
        <w:rPr>
          <w:rFonts w:ascii="仿宋_GB2312" w:eastAsia="仿宋_GB2312"/>
          <w:sz w:val="28"/>
          <w:szCs w:val="28"/>
        </w:rPr>
      </w:pPr>
      <w:r>
        <w:rPr>
          <w:rFonts w:hint="eastAsia" w:ascii="仿宋_GB2312" w:eastAsia="仿宋_GB2312"/>
          <w:sz w:val="28"/>
          <w:szCs w:val="28"/>
        </w:rPr>
        <w:t>2023年度政府采购支出总额</w:t>
      </w:r>
      <w:r>
        <w:rPr>
          <w:rFonts w:ascii="仿宋_GB2312" w:eastAsia="仿宋_GB2312"/>
          <w:sz w:val="28"/>
          <w:szCs w:val="28"/>
        </w:rPr>
        <w:t>6040.48</w:t>
      </w:r>
      <w:r>
        <w:rPr>
          <w:rFonts w:hint="eastAsia" w:ascii="仿宋_GB2312" w:eastAsia="仿宋_GB2312"/>
          <w:sz w:val="28"/>
          <w:szCs w:val="28"/>
        </w:rPr>
        <w:t>万元，其中：政府采购货物支出</w:t>
      </w:r>
      <w:r>
        <w:rPr>
          <w:rFonts w:ascii="仿宋_GB2312" w:eastAsia="仿宋_GB2312"/>
          <w:sz w:val="28"/>
          <w:szCs w:val="28"/>
        </w:rPr>
        <w:t>1995.96</w:t>
      </w:r>
      <w:r>
        <w:rPr>
          <w:rFonts w:hint="eastAsia" w:ascii="仿宋_GB2312" w:eastAsia="仿宋_GB2312"/>
          <w:sz w:val="28"/>
          <w:szCs w:val="28"/>
        </w:rPr>
        <w:t>万元，政府采购工程支出</w:t>
      </w:r>
      <w:r>
        <w:rPr>
          <w:rFonts w:ascii="仿宋_GB2312" w:eastAsia="仿宋_GB2312"/>
          <w:sz w:val="28"/>
          <w:szCs w:val="28"/>
        </w:rPr>
        <w:t>1666.85</w:t>
      </w:r>
      <w:r>
        <w:rPr>
          <w:rFonts w:hint="eastAsia" w:ascii="仿宋_GB2312" w:eastAsia="仿宋_GB2312"/>
          <w:sz w:val="28"/>
          <w:szCs w:val="28"/>
        </w:rPr>
        <w:t>万元，政府采购服务支出</w:t>
      </w:r>
      <w:r>
        <w:rPr>
          <w:rFonts w:ascii="仿宋_GB2312" w:eastAsia="仿宋_GB2312"/>
          <w:sz w:val="28"/>
          <w:szCs w:val="28"/>
        </w:rPr>
        <w:t>2377.67</w:t>
      </w:r>
      <w:r>
        <w:rPr>
          <w:rFonts w:hint="eastAsia" w:ascii="仿宋_GB2312" w:eastAsia="仿宋_GB2312"/>
          <w:sz w:val="28"/>
          <w:szCs w:val="28"/>
        </w:rPr>
        <w:t>万元。授予中小企业合同金额</w:t>
      </w:r>
      <w:r>
        <w:rPr>
          <w:rFonts w:ascii="仿宋_GB2312" w:eastAsia="仿宋_GB2312"/>
          <w:sz w:val="28"/>
          <w:szCs w:val="28"/>
        </w:rPr>
        <w:t>5190.02</w:t>
      </w:r>
      <w:r>
        <w:rPr>
          <w:rFonts w:hint="eastAsia" w:ascii="仿宋_GB2312" w:eastAsia="仿宋_GB2312"/>
          <w:sz w:val="28"/>
          <w:szCs w:val="28"/>
        </w:rPr>
        <w:t>万元，占政府采购支出总额的</w:t>
      </w:r>
      <w:r>
        <w:rPr>
          <w:rFonts w:ascii="仿宋_GB2312" w:eastAsia="仿宋_GB2312"/>
          <w:sz w:val="28"/>
          <w:szCs w:val="28"/>
        </w:rPr>
        <w:t>85.92</w:t>
      </w:r>
      <w:r>
        <w:rPr>
          <w:rFonts w:hint="eastAsia" w:ascii="仿宋_GB2312" w:eastAsia="仿宋_GB2312"/>
          <w:sz w:val="28"/>
          <w:szCs w:val="28"/>
        </w:rPr>
        <w:t>%，其中：授予小微企业合同金额</w:t>
      </w:r>
      <w:r>
        <w:rPr>
          <w:rFonts w:ascii="仿宋_GB2312" w:eastAsia="仿宋_GB2312"/>
          <w:sz w:val="28"/>
          <w:szCs w:val="28"/>
        </w:rPr>
        <w:t>2994.44</w:t>
      </w:r>
      <w:r>
        <w:rPr>
          <w:rFonts w:hint="eastAsia" w:ascii="仿宋_GB2312" w:eastAsia="仿宋_GB2312"/>
          <w:sz w:val="28"/>
          <w:szCs w:val="28"/>
        </w:rPr>
        <w:t>万元，占政府采购支出总额的</w:t>
      </w:r>
      <w:r>
        <w:rPr>
          <w:rFonts w:ascii="仿宋_GB2312" w:eastAsia="仿宋_GB2312"/>
          <w:sz w:val="28"/>
          <w:szCs w:val="28"/>
        </w:rPr>
        <w:t>49.57</w:t>
      </w:r>
      <w:r>
        <w:rPr>
          <w:rFonts w:hint="eastAsia" w:ascii="仿宋_GB2312" w:eastAsia="仿宋_GB2312"/>
          <w:sz w:val="28"/>
          <w:szCs w:val="28"/>
        </w:rPr>
        <w:t>%。</w:t>
      </w:r>
    </w:p>
    <w:p w14:paraId="69759CB0">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5DD817CB">
      <w:pPr>
        <w:ind w:firstLine="560" w:firstLineChars="200"/>
        <w:rPr>
          <w:rFonts w:ascii="仿宋_GB2312" w:eastAsia="仿宋_GB2312"/>
          <w:sz w:val="32"/>
          <w:szCs w:val="32"/>
          <w:highlight w:val="yellow"/>
        </w:rPr>
      </w:pPr>
      <w:r>
        <w:rPr>
          <w:rFonts w:hint="eastAsia" w:ascii="仿宋_GB2312" w:eastAsia="仿宋_GB2312"/>
          <w:sz w:val="28"/>
          <w:szCs w:val="28"/>
        </w:rPr>
        <w:t>2023年度新购置车辆1台，共计48.98万元；新购置单位价值100万元（含）以上的设备1台（套），共计747.96万元。截至12月31日，北京农学院共有车辆17台，共计454.10万元；单位价值100万元（含）以上的设备</w:t>
      </w:r>
      <w:r>
        <w:rPr>
          <w:rFonts w:ascii="仿宋_GB2312" w:eastAsia="仿宋_GB2312"/>
          <w:sz w:val="28"/>
          <w:szCs w:val="28"/>
        </w:rPr>
        <w:t>32</w:t>
      </w:r>
      <w:r>
        <w:rPr>
          <w:rFonts w:hint="eastAsia" w:ascii="仿宋_GB2312" w:eastAsia="仿宋_GB2312"/>
          <w:sz w:val="28"/>
          <w:szCs w:val="28"/>
        </w:rPr>
        <w:t>台（套），共计6075.59万元。</w:t>
      </w:r>
    </w:p>
    <w:p w14:paraId="31A4B847">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20787A77">
      <w:pPr>
        <w:ind w:firstLine="560" w:firstLineChars="200"/>
        <w:jc w:val="left"/>
        <w:rPr>
          <w:rFonts w:ascii="仿宋_GB2312" w:eastAsia="仿宋_GB2312"/>
          <w:sz w:val="28"/>
          <w:szCs w:val="28"/>
        </w:rPr>
      </w:pPr>
      <w:r>
        <w:rPr>
          <w:rFonts w:hint="eastAsia" w:ascii="仿宋_GB2312" w:eastAsia="仿宋_GB2312"/>
          <w:sz w:val="28"/>
          <w:szCs w:val="28"/>
        </w:rPr>
        <w:t>不属于政府购买服务购买主体。</w:t>
      </w:r>
    </w:p>
    <w:p w14:paraId="33748783">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71E83A75">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068C0E78">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63AD81EB">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209AC0C7">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238AB082">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2DFAF728">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77BF08D9">
      <w:pPr>
        <w:ind w:firstLine="420" w:firstLineChars="150"/>
        <w:rPr>
          <w:rFonts w:ascii="仿宋_GB2312" w:eastAsia="仿宋_GB2312"/>
          <w:sz w:val="28"/>
          <w:szCs w:val="28"/>
        </w:rPr>
      </w:pPr>
      <w:r>
        <w:rPr>
          <w:rFonts w:hint="eastAsia" w:ascii="仿宋_GB2312" w:eastAsia="仿宋_GB2312"/>
          <w:sz w:val="28"/>
          <w:szCs w:val="28"/>
        </w:rPr>
        <w:t>7.教育支出（类）普通教育（款）学前教育（项）：反映各部门举办的学前教育支出。政府各部门对社会组织等举办的幼儿园的资助，如捐赠、补贴等，也在本科目中反映。</w:t>
      </w:r>
    </w:p>
    <w:p w14:paraId="793F6DEF">
      <w:pPr>
        <w:ind w:firstLine="420" w:firstLineChars="150"/>
        <w:rPr>
          <w:rFonts w:ascii="仿宋_GB2312" w:eastAsia="仿宋_GB2312"/>
          <w:sz w:val="28"/>
          <w:szCs w:val="28"/>
        </w:rPr>
      </w:pPr>
      <w:r>
        <w:rPr>
          <w:rFonts w:hint="eastAsia" w:ascii="仿宋_GB2312" w:eastAsia="仿宋_GB2312"/>
          <w:sz w:val="28"/>
          <w:szCs w:val="28"/>
        </w:rPr>
        <w:t>8.教育支出（类）普通教育（款）高等教育（项）：反映各部门举办的普通本科(包括研究生)教育支出。政府各部门对社会组织等举办的普通本科高等院校 (包括研究生)的资助，如捐赠、补贴等，也在本科目中反映。</w:t>
      </w:r>
    </w:p>
    <w:p w14:paraId="79F7E56A">
      <w:pPr>
        <w:ind w:firstLine="420" w:firstLineChars="150"/>
        <w:rPr>
          <w:rFonts w:ascii="仿宋_GB2312" w:eastAsia="仿宋_GB2312"/>
          <w:sz w:val="28"/>
          <w:szCs w:val="28"/>
        </w:rPr>
      </w:pPr>
      <w:r>
        <w:rPr>
          <w:rFonts w:hint="eastAsia" w:ascii="仿宋_GB2312" w:eastAsia="仿宋_GB2312"/>
          <w:sz w:val="28"/>
          <w:szCs w:val="28"/>
        </w:rPr>
        <w:t>9.科学技术支出（类）技术研究与开发（款）其他技术研究与开发支出（项）：反映除机构运行、科技成果转化与扩散、共性技术研究与开发项目以外其他用于技术研究与开发方面的支出。</w:t>
      </w:r>
    </w:p>
    <w:p w14:paraId="6EDCCA9B">
      <w:pPr>
        <w:ind w:firstLine="632" w:firstLineChars="200"/>
        <w:rPr>
          <w:rFonts w:ascii="仿宋_GB2312" w:eastAsia="仿宋_GB2312"/>
          <w:b/>
          <w:color w:val="000000"/>
          <w:spacing w:val="-2"/>
          <w:sz w:val="32"/>
          <w:szCs w:val="32"/>
        </w:rPr>
      </w:pPr>
    </w:p>
    <w:p w14:paraId="4FF7EB18">
      <w:pPr>
        <w:ind w:firstLine="640" w:firstLineChars="200"/>
        <w:jc w:val="center"/>
        <w:rPr>
          <w:rFonts w:ascii="黑体" w:eastAsia="黑体"/>
          <w:sz w:val="32"/>
          <w:szCs w:val="32"/>
        </w:rPr>
      </w:pPr>
    </w:p>
    <w:p w14:paraId="326A0072">
      <w:pPr>
        <w:ind w:firstLine="640" w:firstLineChars="200"/>
        <w:jc w:val="center"/>
        <w:rPr>
          <w:rFonts w:ascii="黑体" w:eastAsia="黑体"/>
          <w:sz w:val="32"/>
          <w:szCs w:val="32"/>
        </w:rPr>
      </w:pPr>
    </w:p>
    <w:p w14:paraId="42FF4B72">
      <w:pPr>
        <w:ind w:firstLine="640" w:firstLineChars="200"/>
        <w:jc w:val="center"/>
        <w:rPr>
          <w:rFonts w:ascii="黑体" w:eastAsia="黑体"/>
          <w:sz w:val="32"/>
          <w:szCs w:val="32"/>
        </w:rPr>
      </w:pPr>
    </w:p>
    <w:p w14:paraId="176C1C23">
      <w:pPr>
        <w:ind w:firstLine="640" w:firstLineChars="200"/>
        <w:jc w:val="center"/>
        <w:rPr>
          <w:rFonts w:ascii="黑体" w:eastAsia="黑体"/>
          <w:sz w:val="32"/>
          <w:szCs w:val="32"/>
        </w:rPr>
      </w:pPr>
      <w:r>
        <w:rPr>
          <w:rFonts w:hint="eastAsia" w:ascii="黑体" w:eastAsia="黑体"/>
          <w:sz w:val="32"/>
          <w:szCs w:val="32"/>
        </w:rPr>
        <w:t>第四部分  2023年度部门绩效评价情况</w:t>
      </w:r>
    </w:p>
    <w:p w14:paraId="6A93A20D">
      <w:pPr>
        <w:ind w:firstLine="560" w:firstLineChars="200"/>
        <w:rPr>
          <w:rFonts w:ascii="黑体" w:eastAsia="黑体"/>
          <w:sz w:val="28"/>
          <w:szCs w:val="28"/>
          <w:highlight w:val="yellow"/>
        </w:rPr>
      </w:pPr>
    </w:p>
    <w:p w14:paraId="7F42C446">
      <w:pPr>
        <w:rPr>
          <w:rFonts w:eastAsia="仿宋_GB2312"/>
        </w:rPr>
      </w:pPr>
      <w:r>
        <w:rPr>
          <w:rFonts w:hint="eastAsia" w:ascii="仿宋_GB2312" w:eastAsia="仿宋_GB2312"/>
          <w:sz w:val="28"/>
          <w:szCs w:val="28"/>
        </w:rPr>
        <w:t>项目支出绩效自评表详见附件。</w:t>
      </w:r>
    </w:p>
    <w:p w14:paraId="6FA1CAFA"/>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3AABD">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520C9C2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96685">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13</w:t>
    </w:r>
    <w:r>
      <w:fldChar w:fldCharType="end"/>
    </w:r>
  </w:p>
  <w:p w14:paraId="45871956">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B1671">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7693209B">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yOTdkN2U0NmMzNTI5MjdiOGU2OWE2YmMxNTA1MTcifQ=="/>
  </w:docVars>
  <w:rsids>
    <w:rsidRoot w:val="00100246"/>
    <w:rsid w:val="00003B03"/>
    <w:rsid w:val="000040E6"/>
    <w:rsid w:val="00011D72"/>
    <w:rsid w:val="00027CD5"/>
    <w:rsid w:val="00031B8E"/>
    <w:rsid w:val="00033EC1"/>
    <w:rsid w:val="00034224"/>
    <w:rsid w:val="0003586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77E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1617"/>
    <w:rsid w:val="00206EC3"/>
    <w:rsid w:val="0021047C"/>
    <w:rsid w:val="00211E4E"/>
    <w:rsid w:val="00213D1C"/>
    <w:rsid w:val="00214C3A"/>
    <w:rsid w:val="00217517"/>
    <w:rsid w:val="00222628"/>
    <w:rsid w:val="002253CB"/>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213"/>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8FB"/>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00D1"/>
    <w:rsid w:val="003712DB"/>
    <w:rsid w:val="00373DDC"/>
    <w:rsid w:val="00380F2F"/>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3B73"/>
    <w:rsid w:val="0041688E"/>
    <w:rsid w:val="004170EF"/>
    <w:rsid w:val="0042093C"/>
    <w:rsid w:val="004233DD"/>
    <w:rsid w:val="00424405"/>
    <w:rsid w:val="00425B25"/>
    <w:rsid w:val="00425D24"/>
    <w:rsid w:val="00426A4D"/>
    <w:rsid w:val="00427687"/>
    <w:rsid w:val="00427E21"/>
    <w:rsid w:val="00433231"/>
    <w:rsid w:val="004334CA"/>
    <w:rsid w:val="0043506A"/>
    <w:rsid w:val="00435830"/>
    <w:rsid w:val="0043619C"/>
    <w:rsid w:val="0044475D"/>
    <w:rsid w:val="00444D1E"/>
    <w:rsid w:val="0044571A"/>
    <w:rsid w:val="0044705D"/>
    <w:rsid w:val="0045090E"/>
    <w:rsid w:val="00453E36"/>
    <w:rsid w:val="00457286"/>
    <w:rsid w:val="00461FA5"/>
    <w:rsid w:val="0046264A"/>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A6B0E"/>
    <w:rsid w:val="004B0003"/>
    <w:rsid w:val="004C020A"/>
    <w:rsid w:val="004C03A3"/>
    <w:rsid w:val="004C44B8"/>
    <w:rsid w:val="004C7629"/>
    <w:rsid w:val="004D030A"/>
    <w:rsid w:val="004D0D5D"/>
    <w:rsid w:val="004E27DD"/>
    <w:rsid w:val="004E3350"/>
    <w:rsid w:val="004E5292"/>
    <w:rsid w:val="004F2C5B"/>
    <w:rsid w:val="004F641B"/>
    <w:rsid w:val="004F71F3"/>
    <w:rsid w:val="005052FA"/>
    <w:rsid w:val="005069E1"/>
    <w:rsid w:val="00507E59"/>
    <w:rsid w:val="005122B5"/>
    <w:rsid w:val="0052381C"/>
    <w:rsid w:val="00531F0B"/>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6EBC"/>
    <w:rsid w:val="005E7DC8"/>
    <w:rsid w:val="005E7EC9"/>
    <w:rsid w:val="005F7087"/>
    <w:rsid w:val="00611BE4"/>
    <w:rsid w:val="0061219B"/>
    <w:rsid w:val="00621419"/>
    <w:rsid w:val="00626446"/>
    <w:rsid w:val="00626BE8"/>
    <w:rsid w:val="00631827"/>
    <w:rsid w:val="00632804"/>
    <w:rsid w:val="006376DA"/>
    <w:rsid w:val="00643DDA"/>
    <w:rsid w:val="006459DA"/>
    <w:rsid w:val="006502E8"/>
    <w:rsid w:val="00654A2B"/>
    <w:rsid w:val="0065675C"/>
    <w:rsid w:val="0065793F"/>
    <w:rsid w:val="0066263B"/>
    <w:rsid w:val="0066713A"/>
    <w:rsid w:val="006710A7"/>
    <w:rsid w:val="0067195C"/>
    <w:rsid w:val="006724F7"/>
    <w:rsid w:val="0067511A"/>
    <w:rsid w:val="0067539B"/>
    <w:rsid w:val="00675543"/>
    <w:rsid w:val="00677396"/>
    <w:rsid w:val="00677AD9"/>
    <w:rsid w:val="00681970"/>
    <w:rsid w:val="0068371D"/>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0442"/>
    <w:rsid w:val="007D1076"/>
    <w:rsid w:val="007D12B7"/>
    <w:rsid w:val="007D2A49"/>
    <w:rsid w:val="007D4B45"/>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07B4"/>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957E7"/>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13A02"/>
    <w:rsid w:val="00927892"/>
    <w:rsid w:val="009319B9"/>
    <w:rsid w:val="009351E9"/>
    <w:rsid w:val="00937862"/>
    <w:rsid w:val="00942279"/>
    <w:rsid w:val="00951BED"/>
    <w:rsid w:val="009524EB"/>
    <w:rsid w:val="00962013"/>
    <w:rsid w:val="00963942"/>
    <w:rsid w:val="0096716C"/>
    <w:rsid w:val="009672B2"/>
    <w:rsid w:val="00971C66"/>
    <w:rsid w:val="00972363"/>
    <w:rsid w:val="0098419C"/>
    <w:rsid w:val="009843EF"/>
    <w:rsid w:val="009867F2"/>
    <w:rsid w:val="009912B5"/>
    <w:rsid w:val="00991347"/>
    <w:rsid w:val="00996018"/>
    <w:rsid w:val="0099738E"/>
    <w:rsid w:val="009A22BC"/>
    <w:rsid w:val="009A493E"/>
    <w:rsid w:val="009A531F"/>
    <w:rsid w:val="009A6931"/>
    <w:rsid w:val="009A6DE0"/>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01AF"/>
    <w:rsid w:val="00A6350C"/>
    <w:rsid w:val="00A6370B"/>
    <w:rsid w:val="00A63A73"/>
    <w:rsid w:val="00A6655C"/>
    <w:rsid w:val="00A66CBB"/>
    <w:rsid w:val="00A6704E"/>
    <w:rsid w:val="00A67EA4"/>
    <w:rsid w:val="00A773FF"/>
    <w:rsid w:val="00A83AA1"/>
    <w:rsid w:val="00A9343A"/>
    <w:rsid w:val="00A9706C"/>
    <w:rsid w:val="00A97B34"/>
    <w:rsid w:val="00AA1B5C"/>
    <w:rsid w:val="00AA7A27"/>
    <w:rsid w:val="00AB2C3C"/>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1A0C"/>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3E83"/>
    <w:rsid w:val="00B859FF"/>
    <w:rsid w:val="00B85C1B"/>
    <w:rsid w:val="00B85FF0"/>
    <w:rsid w:val="00B86150"/>
    <w:rsid w:val="00B878F9"/>
    <w:rsid w:val="00B9044A"/>
    <w:rsid w:val="00B960F3"/>
    <w:rsid w:val="00B96A31"/>
    <w:rsid w:val="00BA05E6"/>
    <w:rsid w:val="00BA50F1"/>
    <w:rsid w:val="00BA51B0"/>
    <w:rsid w:val="00BA6319"/>
    <w:rsid w:val="00BA644A"/>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25C6"/>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66D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07D1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404D"/>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33023"/>
    <w:rsid w:val="00E331F3"/>
    <w:rsid w:val="00E3498D"/>
    <w:rsid w:val="00E42425"/>
    <w:rsid w:val="00E43E55"/>
    <w:rsid w:val="00E4554E"/>
    <w:rsid w:val="00E46D22"/>
    <w:rsid w:val="00E4768F"/>
    <w:rsid w:val="00E53C0E"/>
    <w:rsid w:val="00E54F7E"/>
    <w:rsid w:val="00E560CE"/>
    <w:rsid w:val="00E5674E"/>
    <w:rsid w:val="00E607F6"/>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044D"/>
    <w:rsid w:val="00FB1248"/>
    <w:rsid w:val="00FB208D"/>
    <w:rsid w:val="00FB2B26"/>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0B98"/>
    <w:rsid w:val="00FF1E37"/>
    <w:rsid w:val="079004AC"/>
    <w:rsid w:val="0A7A168F"/>
    <w:rsid w:val="0F8E2C57"/>
    <w:rsid w:val="1059665E"/>
    <w:rsid w:val="10AC13BA"/>
    <w:rsid w:val="1A530EE9"/>
    <w:rsid w:val="1A864F87"/>
    <w:rsid w:val="1AEC0734"/>
    <w:rsid w:val="1B1262BE"/>
    <w:rsid w:val="1DEF20B0"/>
    <w:rsid w:val="1EFB0183"/>
    <w:rsid w:val="1F100319"/>
    <w:rsid w:val="214243FA"/>
    <w:rsid w:val="24A40D85"/>
    <w:rsid w:val="257A14F5"/>
    <w:rsid w:val="27196C26"/>
    <w:rsid w:val="289F09DD"/>
    <w:rsid w:val="29EF086F"/>
    <w:rsid w:val="2EFFE297"/>
    <w:rsid w:val="301437CA"/>
    <w:rsid w:val="3D616508"/>
    <w:rsid w:val="3DB90469"/>
    <w:rsid w:val="3EFB318C"/>
    <w:rsid w:val="3EFF5A75"/>
    <w:rsid w:val="433E495C"/>
    <w:rsid w:val="49B77FD3"/>
    <w:rsid w:val="4A0A6C4A"/>
    <w:rsid w:val="4AC27CB3"/>
    <w:rsid w:val="4BF72BEF"/>
    <w:rsid w:val="4C707C37"/>
    <w:rsid w:val="4C8B1BD7"/>
    <w:rsid w:val="4D580EE0"/>
    <w:rsid w:val="4E8B1E39"/>
    <w:rsid w:val="4ECD1134"/>
    <w:rsid w:val="51DB3C59"/>
    <w:rsid w:val="51DC5E74"/>
    <w:rsid w:val="550D795B"/>
    <w:rsid w:val="55762E42"/>
    <w:rsid w:val="569C1796"/>
    <w:rsid w:val="57315C89"/>
    <w:rsid w:val="57A7B272"/>
    <w:rsid w:val="58470068"/>
    <w:rsid w:val="5A1720F9"/>
    <w:rsid w:val="5B9C37C2"/>
    <w:rsid w:val="5BA7C654"/>
    <w:rsid w:val="5E6A0B98"/>
    <w:rsid w:val="6349222E"/>
    <w:rsid w:val="64C0607C"/>
    <w:rsid w:val="676F09E1"/>
    <w:rsid w:val="68660FC4"/>
    <w:rsid w:val="6AA74257"/>
    <w:rsid w:val="6B273DBC"/>
    <w:rsid w:val="6BCB30F2"/>
    <w:rsid w:val="762636C5"/>
    <w:rsid w:val="772F2334"/>
    <w:rsid w:val="7A7F1C49"/>
    <w:rsid w:val="7B5B7AE6"/>
    <w:rsid w:val="7BA7071E"/>
    <w:rsid w:val="7BDF6DA8"/>
    <w:rsid w:val="7C7EDC1A"/>
    <w:rsid w:val="7CCED98D"/>
    <w:rsid w:val="7D08410F"/>
    <w:rsid w:val="7DB96DED"/>
    <w:rsid w:val="7DD3AD81"/>
    <w:rsid w:val="7E3A5C37"/>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200" w:firstLineChars="200"/>
    </w:pPr>
  </w:style>
  <w:style w:type="paragraph" w:styleId="4">
    <w:name w:val="Body Text Indent"/>
    <w:basedOn w:val="1"/>
    <w:autoRedefine/>
    <w:qFormat/>
    <w:uiPriority w:val="0"/>
    <w:pPr>
      <w:ind w:firstLine="645"/>
    </w:pPr>
    <w:rPr>
      <w:rFonts w:ascii="仿宋_GB2312" w:hAnsi="Calibri" w:eastAsia="仿宋_GB2312"/>
      <w:sz w:val="32"/>
      <w:szCs w:val="32"/>
    </w:rPr>
  </w:style>
  <w:style w:type="paragraph" w:styleId="5">
    <w:name w:val="Date"/>
    <w:basedOn w:val="1"/>
    <w:next w:val="1"/>
    <w:autoRedefine/>
    <w:qFormat/>
    <w:uiPriority w:val="0"/>
    <w:pPr>
      <w:ind w:left="100" w:leftChars="2500"/>
    </w:pPr>
  </w:style>
  <w:style w:type="paragraph" w:styleId="6">
    <w:name w:val="Balloon Text"/>
    <w:basedOn w:val="1"/>
    <w:autoRedefine/>
    <w:semiHidden/>
    <w:qFormat/>
    <w:uiPriority w:val="0"/>
    <w:rPr>
      <w:sz w:val="18"/>
      <w:szCs w:val="18"/>
    </w:rPr>
  </w:style>
  <w:style w:type="paragraph" w:styleId="7">
    <w:name w:val="footer"/>
    <w:basedOn w:val="1"/>
    <w:link w:val="14"/>
    <w:autoRedefine/>
    <w:qFormat/>
    <w:uiPriority w:val="0"/>
    <w:pPr>
      <w:tabs>
        <w:tab w:val="center" w:pos="4153"/>
        <w:tab w:val="right" w:pos="8306"/>
      </w:tabs>
      <w:snapToGrid w:val="0"/>
      <w:jc w:val="left"/>
    </w:pPr>
    <w:rPr>
      <w:sz w:val="18"/>
      <w:szCs w:val="18"/>
    </w:rPr>
  </w:style>
  <w:style w:type="paragraph" w:styleId="8">
    <w:name w:val="header"/>
    <w:basedOn w:val="1"/>
    <w:link w:val="15"/>
    <w:autoRedefine/>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autoRedefine/>
    <w:unhideWhenUsed/>
    <w:qFormat/>
    <w:uiPriority w:val="0"/>
    <w:pPr>
      <w:spacing w:before="100" w:beforeAutospacing="1" w:after="100" w:afterAutospacing="1"/>
      <w:ind w:right="238"/>
      <w:jc w:val="left"/>
    </w:pPr>
    <w:rPr>
      <w:b/>
      <w:kern w:val="0"/>
      <w:sz w:val="24"/>
      <w:szCs w:val="20"/>
    </w:rPr>
  </w:style>
  <w:style w:type="character" w:styleId="12">
    <w:name w:val="Strong"/>
    <w:autoRedefine/>
    <w:qFormat/>
    <w:uiPriority w:val="0"/>
    <w:rPr>
      <w:b/>
    </w:rPr>
  </w:style>
  <w:style w:type="character" w:styleId="13">
    <w:name w:val="page number"/>
    <w:autoRedefine/>
    <w:qFormat/>
    <w:uiPriority w:val="0"/>
  </w:style>
  <w:style w:type="character" w:customStyle="1" w:styleId="14">
    <w:name w:val="页脚 字符"/>
    <w:link w:val="7"/>
    <w:autoRedefine/>
    <w:qFormat/>
    <w:uiPriority w:val="0"/>
    <w:rPr>
      <w:rFonts w:eastAsia="宋体"/>
      <w:kern w:val="2"/>
      <w:sz w:val="18"/>
      <w:szCs w:val="18"/>
      <w:lang w:val="en-US" w:eastAsia="zh-CN" w:bidi="ar-SA"/>
    </w:rPr>
  </w:style>
  <w:style w:type="character" w:customStyle="1" w:styleId="15">
    <w:name w:val="页眉 字符"/>
    <w:link w:val="8"/>
    <w:autoRedefine/>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autoRedefine/>
    <w:qFormat/>
    <w:uiPriority w:val="0"/>
    <w:rPr>
      <w:rFonts w:ascii="Tahoma" w:hAnsi="Tahoma"/>
      <w:sz w:val="24"/>
      <w:szCs w:val="20"/>
    </w:rPr>
  </w:style>
  <w:style w:type="paragraph" w:customStyle="1" w:styleId="17">
    <w:name w:val="Char1 Char Char Char"/>
    <w:basedOn w:val="1"/>
    <w:autoRedefine/>
    <w:qFormat/>
    <w:uiPriority w:val="0"/>
    <w:pPr>
      <w:widowControl/>
      <w:spacing w:after="160" w:line="240" w:lineRule="exact"/>
      <w:jc w:val="left"/>
    </w:pPr>
    <w:rPr>
      <w:szCs w:val="20"/>
    </w:rPr>
  </w:style>
  <w:style w:type="paragraph" w:customStyle="1" w:styleId="18">
    <w:name w:val="Char"/>
    <w:basedOn w:val="1"/>
    <w:autoRedefine/>
    <w:qFormat/>
    <w:uiPriority w:val="0"/>
    <w:rPr>
      <w:rFonts w:ascii="Tahoma" w:hAnsi="Tahoma"/>
      <w:sz w:val="24"/>
      <w:szCs w:val="20"/>
    </w:rPr>
  </w:style>
  <w:style w:type="paragraph" w:customStyle="1" w:styleId="19">
    <w:name w:val="Char Char3 Char Char"/>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BUA</Company>
  <Pages>13</Pages>
  <Words>3522</Words>
  <Characters>4089</Characters>
  <Lines>5</Lines>
  <Paragraphs>8</Paragraphs>
  <TotalTime>4</TotalTime>
  <ScaleCrop>false</ScaleCrop>
  <LinksUpToDate>false</LinksUpToDate>
  <CharactersWithSpaces>4117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晓爽</cp:lastModifiedBy>
  <cp:lastPrinted>2020-08-07T11:39:00Z</cp:lastPrinted>
  <dcterms:modified xsi:type="dcterms:W3CDTF">2024-09-04T07:52:47Z</dcterms:modified>
  <dc:title>北京市财政局关于做好向市人大常委会报送2015年度市级部门决算（草案）</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1A588EF419CE4FB5B1DC094B6D6E7686_13</vt:lpwstr>
  </property>
</Properties>
</file>