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F723A">
      <w:pPr>
        <w:jc w:val="center"/>
        <w:rPr>
          <w:rFonts w:ascii="黑体" w:eastAsia="黑体"/>
          <w:sz w:val="72"/>
          <w:szCs w:val="72"/>
        </w:rPr>
      </w:pPr>
    </w:p>
    <w:p w14:paraId="2C89BEC5">
      <w:pPr>
        <w:jc w:val="center"/>
        <w:rPr>
          <w:rFonts w:ascii="黑体" w:eastAsia="黑体"/>
          <w:sz w:val="72"/>
          <w:szCs w:val="72"/>
        </w:rPr>
      </w:pPr>
    </w:p>
    <w:p w14:paraId="1CD41666">
      <w:pPr>
        <w:jc w:val="center"/>
        <w:rPr>
          <w:rFonts w:ascii="黑体" w:eastAsia="黑体"/>
          <w:sz w:val="72"/>
          <w:szCs w:val="72"/>
        </w:rPr>
      </w:pPr>
    </w:p>
    <w:p w14:paraId="7BEADC2F">
      <w:pPr>
        <w:jc w:val="center"/>
        <w:rPr>
          <w:rFonts w:ascii="黑体" w:eastAsia="黑体"/>
          <w:sz w:val="72"/>
          <w:szCs w:val="72"/>
        </w:rPr>
      </w:pPr>
    </w:p>
    <w:p w14:paraId="3F041559">
      <w:pPr>
        <w:jc w:val="center"/>
        <w:rPr>
          <w:rFonts w:ascii="黑体" w:eastAsia="黑体"/>
          <w:sz w:val="72"/>
          <w:szCs w:val="72"/>
        </w:rPr>
      </w:pPr>
      <w:r>
        <w:rPr>
          <w:rFonts w:hint="eastAsia" w:ascii="黑体" w:eastAsia="黑体"/>
          <w:sz w:val="72"/>
          <w:szCs w:val="72"/>
        </w:rPr>
        <w:t>2023年度部门决算公开</w:t>
      </w:r>
    </w:p>
    <w:p w14:paraId="4CF55D5C">
      <w:pPr>
        <w:pStyle w:val="2"/>
        <w:ind w:firstLine="1440"/>
        <w:rPr>
          <w:rFonts w:ascii="黑体" w:eastAsia="黑体"/>
          <w:sz w:val="72"/>
          <w:szCs w:val="72"/>
        </w:rPr>
      </w:pPr>
    </w:p>
    <w:p w14:paraId="6491A4EC">
      <w:pPr>
        <w:jc w:val="center"/>
        <w:rPr>
          <w:rFonts w:ascii="宋体" w:hAnsi="宋体"/>
          <w:sz w:val="36"/>
          <w:szCs w:val="36"/>
        </w:rPr>
      </w:pPr>
      <w:r>
        <w:rPr>
          <w:rFonts w:hint="eastAsia" w:ascii="宋体" w:hAnsi="宋体"/>
          <w:sz w:val="36"/>
          <w:szCs w:val="36"/>
        </w:rPr>
        <w:t>单位名称：北京市教育委员会本级</w:t>
      </w:r>
    </w:p>
    <w:p w14:paraId="5D64D2E8">
      <w:pPr>
        <w:pStyle w:val="2"/>
        <w:ind w:firstLine="420"/>
        <w:jc w:val="center"/>
      </w:pPr>
    </w:p>
    <w:p w14:paraId="336D5E67">
      <w:pPr>
        <w:rPr>
          <w:rFonts w:ascii="宋体" w:hAnsi="宋体" w:cs="宋体"/>
          <w:b/>
          <w:bCs/>
          <w:kern w:val="0"/>
          <w:sz w:val="44"/>
          <w:szCs w:val="36"/>
        </w:rPr>
      </w:pPr>
      <w:r>
        <w:rPr>
          <w:rFonts w:hint="eastAsia" w:ascii="宋体" w:hAnsi="宋体" w:cs="宋体"/>
          <w:b/>
          <w:bCs/>
          <w:kern w:val="0"/>
          <w:sz w:val="44"/>
          <w:szCs w:val="36"/>
        </w:rPr>
        <w:br w:type="page"/>
      </w:r>
    </w:p>
    <w:p w14:paraId="20D5C91D">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4E331501">
      <w:pPr>
        <w:spacing w:line="500" w:lineRule="exact"/>
        <w:ind w:firstLine="645"/>
        <w:jc w:val="center"/>
        <w:rPr>
          <w:rFonts w:ascii="宋体" w:hAnsi="宋体" w:cs="宋体"/>
          <w:b/>
          <w:bCs/>
          <w:kern w:val="0"/>
          <w:sz w:val="36"/>
          <w:szCs w:val="36"/>
        </w:rPr>
      </w:pPr>
    </w:p>
    <w:p w14:paraId="3DACAE7C">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2023年度部门决算报表</w:t>
      </w:r>
    </w:p>
    <w:p w14:paraId="74F2FFDB">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0FE0AFC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5675EB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D5271F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0349E95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14:paraId="645BB65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14:paraId="6B4D791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14:paraId="385AAD9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2071AA5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08C24B5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14:paraId="0A144A0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14:paraId="732A65C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14:paraId="279C25A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14:paraId="34B59411">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2023年度部门决算说明</w:t>
      </w:r>
    </w:p>
    <w:p w14:paraId="1CCC56ED">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14:paraId="4C29B8CF">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2023年度部门绩效评价情况</w:t>
      </w:r>
    </w:p>
    <w:p w14:paraId="6BF35D52">
      <w:pPr>
        <w:tabs>
          <w:tab w:val="center" w:pos="6979"/>
        </w:tabs>
        <w:spacing w:before="156" w:beforeLines="50" w:after="156" w:afterLines="50"/>
        <w:jc w:val="center"/>
        <w:rPr>
          <w:rFonts w:ascii="宋体" w:hAnsi="宋体" w:cs="宋体"/>
          <w:b/>
          <w:bCs/>
          <w:spacing w:val="40"/>
          <w:kern w:val="0"/>
          <w:sz w:val="32"/>
          <w:szCs w:val="32"/>
        </w:rPr>
      </w:pPr>
    </w:p>
    <w:p w14:paraId="55B4D904">
      <w:pPr>
        <w:tabs>
          <w:tab w:val="center" w:pos="6979"/>
        </w:tabs>
        <w:spacing w:before="156" w:beforeLines="50" w:after="156" w:afterLines="50"/>
        <w:jc w:val="center"/>
        <w:rPr>
          <w:rFonts w:ascii="宋体" w:hAnsi="宋体" w:cs="宋体"/>
          <w:b/>
          <w:bCs/>
          <w:spacing w:val="40"/>
          <w:kern w:val="0"/>
          <w:sz w:val="32"/>
          <w:szCs w:val="32"/>
        </w:rPr>
      </w:pPr>
    </w:p>
    <w:p w14:paraId="6FB9DC02">
      <w:pPr>
        <w:tabs>
          <w:tab w:val="center" w:pos="6979"/>
        </w:tabs>
        <w:spacing w:before="156" w:beforeLines="50" w:after="156" w:afterLines="50"/>
        <w:jc w:val="center"/>
        <w:rPr>
          <w:rFonts w:ascii="宋体" w:hAnsi="宋体" w:cs="宋体"/>
          <w:b/>
          <w:bCs/>
          <w:spacing w:val="40"/>
          <w:kern w:val="0"/>
          <w:sz w:val="32"/>
          <w:szCs w:val="32"/>
        </w:rPr>
      </w:pPr>
    </w:p>
    <w:p w14:paraId="16253D49">
      <w:pPr>
        <w:tabs>
          <w:tab w:val="center" w:pos="6979"/>
        </w:tabs>
        <w:spacing w:before="156" w:beforeLines="50" w:after="156" w:afterLines="50"/>
        <w:jc w:val="center"/>
        <w:rPr>
          <w:rFonts w:ascii="宋体" w:hAnsi="宋体" w:cs="宋体"/>
          <w:b/>
          <w:bCs/>
          <w:spacing w:val="40"/>
          <w:kern w:val="0"/>
          <w:sz w:val="32"/>
          <w:szCs w:val="32"/>
        </w:rPr>
      </w:pPr>
    </w:p>
    <w:p w14:paraId="28696835">
      <w:pPr>
        <w:tabs>
          <w:tab w:val="center" w:pos="6979"/>
        </w:tabs>
        <w:spacing w:before="156" w:beforeLines="50" w:after="156" w:afterLines="50"/>
        <w:jc w:val="center"/>
        <w:rPr>
          <w:rFonts w:ascii="宋体" w:hAnsi="宋体" w:cs="宋体"/>
          <w:b/>
          <w:bCs/>
          <w:spacing w:val="40"/>
          <w:kern w:val="0"/>
          <w:sz w:val="32"/>
          <w:szCs w:val="32"/>
        </w:rPr>
      </w:pPr>
    </w:p>
    <w:p w14:paraId="0DCD98BA">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2023年度部门决算报表</w:t>
      </w:r>
    </w:p>
    <w:p w14:paraId="37668177">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308A1255">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2023年度部门决算说明</w:t>
      </w:r>
    </w:p>
    <w:p w14:paraId="5CB2AF46">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70BAF444">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26FA735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北京市教育委员会是市政府组成部门，为正局级，加挂北京市语言文字工作委员会、北京市人民政府教育督导室牌子，归口市委教育工作委员会领导。</w:t>
      </w:r>
    </w:p>
    <w:p w14:paraId="74F618B0">
      <w:pPr>
        <w:tabs>
          <w:tab w:val="center" w:pos="6979"/>
        </w:tabs>
        <w:spacing w:line="580" w:lineRule="exact"/>
        <w:ind w:firstLine="560" w:firstLineChars="200"/>
      </w:pPr>
      <w:r>
        <w:rPr>
          <w:rFonts w:hint="eastAsia" w:ascii="仿宋_GB2312" w:eastAsia="仿宋_GB2312"/>
          <w:kern w:val="0"/>
          <w:sz w:val="28"/>
          <w:szCs w:val="28"/>
        </w:rPr>
        <w:t>根据党中央、国务院批准的《北京市机构改革方案》，设立北京市教育委员会。按照中共北京市委办公厅、北京市人民政府办公厅《关于印发&lt;北京市教育委员会职能配置、内设机构和人员编制规定&gt;的通知》，内设26个处室，分别为：办公室、政策研究与法制工作处、发展规划处、基本建设处、学前教育处、基础教育一处、基础教育二处、职业教育与成人教育处、高等教育处、民办教育处、高校学生处、科学技术与研究生工作处、体育卫生与艺术教育处、校外培训工作处、督政处、督学处、评估与监测处、教育信息化处、扶贫协作与支援合作处、国际合作与交流处、学校后勤处、语言文字工作处、审计处、财务处、人事处、工会。</w:t>
      </w:r>
    </w:p>
    <w:p w14:paraId="691DE51C">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北京市教育委员会贯彻落实党中央关于教育事业的方针政策、决策部署和市委有关工作要求，在履行职责过程中坚持和加强党对教育事业的集中统一领导。主要职责是：</w:t>
      </w:r>
    </w:p>
    <w:p w14:paraId="205E36EF">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贯彻落实国家关于教育方面的法律法规、规章和政策，推进依法治教，起草本市相关的地方性法规草案、政府规章草案，研究拟订教育改革与发展的政策并监督实施。组织编制教育事业发展规划，会同有关部门编制教育设施专项规划，并组织实施。</w:t>
      </w:r>
    </w:p>
    <w:p w14:paraId="27DA3ADF">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2.统筹、协调和指导本市教育工作。统一管理学前教育、基础教育、中等职业教育、高等教育及其他各类教育事业。负责推进义务教育均衡发展和促进教育公平。负责建立各级各类教育相关标准体系并组织实施。负责教育系统社会信用体系建设。</w:t>
      </w:r>
    </w:p>
    <w:p w14:paraId="2458AC93">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3.指导本市教育系统及农村、企业、社区的综合教育改革工作。推进职业教育和高等教育的改革与发展，负责教育系统扶贫协作和支援合作工作。深化推进市属高等学校管理体制改革。</w:t>
      </w:r>
    </w:p>
    <w:p w14:paraId="3B19BAA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4.统筹、协调和指导本市学习型社会、终身学习服务体系建设工作。</w:t>
      </w:r>
    </w:p>
    <w:p w14:paraId="7DDCA87A">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5.根据管理权限，负责审核、审批国家举办的、国家机构以外的社会组织或者个人举办的学校及其他教育机构、项目的设置、变更和终止，并履行监管职责。管理市属高等学校的专业设置。管理学位、学科建设和研究生培养工作。协调管理中央部委在京高等学校。</w:t>
      </w:r>
    </w:p>
    <w:p w14:paraId="2E54B0AE">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6.拟订本市中等及中等以下教育学校的设置和办学标准，制定教学基本要求和基本文件。组织编写中等及中等以下教育学校的教材，审定基础教育地方教材。</w:t>
      </w:r>
    </w:p>
    <w:p w14:paraId="742790B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7.研究考试招生改革工作，拟订本市招生考试与评价制度改革政策和高等教育、中等教育以及研究生教育的招生计划，负责考试的组织和管理工作。负责北京地区中等以上学历教育学生的学籍管理工作。负责北京地区高等学校学生申诉处理工作。</w:t>
      </w:r>
    </w:p>
    <w:p w14:paraId="7250319F">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8.参与拟订北京高等学校毕业生就业政策并组织实施，推进高等学校毕业生就业制度改革。指导北京高等学校开展大学生就业创业和征兵工作。</w:t>
      </w:r>
    </w:p>
    <w:p w14:paraId="17BB43A4">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9.管理、指导本市基础教育学校思想政治工作、德育工作，指导各级各类学校体育卫生与艺术教育、劳动教育及国防教育工作。协调、指导各类学生的社会实践和校外教育工作。</w:t>
      </w:r>
    </w:p>
    <w:p w14:paraId="7AEE14B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10.规划、指导北京高等学校自然科学、哲学和社会科学研究。组织北京高等学校承担国家及本市重大科研项目。指导北京高等学校科技创新平台的发展建设。指导教育信息化和产学研结合等工作。负责教育系统网络信息安全、技术指导和保障工作。</w:t>
      </w:r>
    </w:p>
    <w:p w14:paraId="3B47D8A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11.统筹规划、组织实施本市教育督导工作，制定有关教育督导与评估的规章制度和实施方案。组织教育相关法律法规规章贯彻执行情况的督导检查。对义务教育实施情况进行监测，对义务教育的教育教学质量和均衡发展状况实施督导检查。</w:t>
      </w:r>
    </w:p>
    <w:p w14:paraId="66FFFAE4">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12.负责本市各级各类教育发展状况和质量的监测以及各级各类学校办学状况和教育教学水平的督导评估。对区政府的教育工作进行督导和评估。指导区及市属有关单位开展教育督导工作。对教育工作中的重大问题进行调查研究，对教育政策的施行效果进行评价，提出报告和建议。负责发布督导报告。</w:t>
      </w:r>
    </w:p>
    <w:p w14:paraId="4021C0DB">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13.负责协调、指导本市教育系统人事和人事制度改革工作。参与拟订国家举办的各级各类学校编制标准。主管教师工作，指导教育系统教师和管理人员队伍建设。统筹教师队伍师德师风建设，负责基础教育教师师德师风工作。负责北京地区教师资格认定。管理教育类社会团体。</w:t>
      </w:r>
    </w:p>
    <w:p w14:paraId="347B733A">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14.会同有关部门拟订本市教育经费筹措、教育基本建设投资的政策。负责统筹管理市本级教育基本建设投资、教育经费及国外教育援助、教育贷款。管理市本级教育国有资产和教育基本建设项目。负责协调高教园区建设工作。监督教育经费预算的执行情况。研究、拟订及调整教育收费政策及标准。</w:t>
      </w:r>
    </w:p>
    <w:p w14:paraId="6DCA0C33">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15.规划、指导本市各级各类学校后勤和后勤改革工作。协调组织各区及有关部门做好校园及周边环境整治，维护学校正常秩序等工作。</w:t>
      </w:r>
    </w:p>
    <w:p w14:paraId="583D45BC">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16.负责本市教育系统国际合作与交流工作及对港澳台地区的教育交流与合作。指导国际学生和港澳台侨学生相关工作。指导汉语国际教育工作。负责中外合作办学和外籍人员子女学校的审核、审批和相关管理工作，驻华使馆人员子女学校注册及日常管理。负责教育类境外非政府组织的设立审核和监督指导。负责在京举办中外合作教育考试审核和监管。负责师生国家公派出国留学申请的受理。</w:t>
      </w:r>
    </w:p>
    <w:p w14:paraId="3E1839A7">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17.规划、指导本市教育科学研究、教育教学研究和教育现代信息技术发展工作。负责语言文字规范化建设工作。</w:t>
      </w:r>
    </w:p>
    <w:p w14:paraId="4C30958B">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18.负责本市教育系统的安全管理工作。对以北京市教育委员会名义组织的各类活动的安全工作承担主体责任。</w:t>
      </w:r>
    </w:p>
    <w:p w14:paraId="28D90D3D">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19.完成市委、市政府交办的其他任务。</w:t>
      </w:r>
    </w:p>
    <w:p w14:paraId="474384EA">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14:paraId="1B6E9030">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行政编制242人，实有人数215人；事业编制0人，实有人数0人。</w:t>
      </w:r>
    </w:p>
    <w:p w14:paraId="0CBEF276">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40B0EB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2023年度收、</w:t>
      </w:r>
      <w:r>
        <w:rPr>
          <w:rFonts w:ascii="仿宋_GB2312" w:eastAsia="仿宋_GB2312"/>
          <w:sz w:val="28"/>
          <w:szCs w:val="28"/>
        </w:rPr>
        <w:t>支</w:t>
      </w:r>
      <w:r>
        <w:rPr>
          <w:rFonts w:hint="eastAsia" w:ascii="仿宋_GB2312" w:eastAsia="仿宋_GB2312"/>
          <w:sz w:val="28"/>
          <w:szCs w:val="28"/>
        </w:rPr>
        <w:t>总计191641.96万元，</w:t>
      </w:r>
      <w:r>
        <w:rPr>
          <w:rFonts w:ascii="仿宋_GB2312" w:eastAsia="仿宋_GB2312"/>
          <w:sz w:val="28"/>
          <w:szCs w:val="28"/>
        </w:rPr>
        <w:t>比上年</w:t>
      </w:r>
      <w:r>
        <w:rPr>
          <w:rFonts w:hint="eastAsia" w:ascii="仿宋_GB2312" w:eastAsia="仿宋_GB2312"/>
          <w:sz w:val="28"/>
          <w:szCs w:val="28"/>
        </w:rPr>
        <w:t>减少29040.56万元，下降13.16%。</w:t>
      </w:r>
    </w:p>
    <w:p w14:paraId="680C8A39">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0B0BEAF5">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2023年度本年收入合计177127.01万元，</w:t>
      </w:r>
      <w:r>
        <w:rPr>
          <w:rFonts w:ascii="仿宋_GB2312" w:eastAsia="仿宋_GB2312"/>
          <w:sz w:val="28"/>
          <w:szCs w:val="28"/>
        </w:rPr>
        <w:t>比上年</w:t>
      </w:r>
      <w:r>
        <w:rPr>
          <w:rFonts w:hint="eastAsia" w:ascii="仿宋_GB2312" w:eastAsia="仿宋_GB2312"/>
          <w:sz w:val="28"/>
          <w:szCs w:val="28"/>
        </w:rPr>
        <w:t>减少28826.51万元，下降14.00%。</w:t>
      </w:r>
    </w:p>
    <w:p w14:paraId="1274E824">
      <w:pPr>
        <w:tabs>
          <w:tab w:val="center" w:pos="6979"/>
        </w:tabs>
        <w:spacing w:line="580" w:lineRule="exact"/>
        <w:ind w:firstLine="560" w:firstLineChars="200"/>
      </w:pPr>
      <w:r>
        <w:rPr>
          <w:rFonts w:hint="eastAsia" w:ascii="仿宋_GB2312" w:eastAsia="仿宋_GB2312"/>
          <w:sz w:val="28"/>
          <w:szCs w:val="28"/>
        </w:rPr>
        <w:t>1.财政拨款收入175947.41万元，占收入合计的99.33%。其中：一般公共预算财政拨款收入175688.41万元，占收入合计的99.18%；政府性基金预算财政拨款收入259.00万元，占收入合计的</w:t>
      </w:r>
      <w:r>
        <w:rPr>
          <w:rFonts w:ascii="仿宋_GB2312" w:eastAsia="仿宋_GB2312"/>
          <w:sz w:val="28"/>
          <w:szCs w:val="28"/>
        </w:rPr>
        <w:t>0</w:t>
      </w:r>
      <w:r>
        <w:rPr>
          <w:rFonts w:hint="eastAsia" w:ascii="仿宋_GB2312" w:eastAsia="仿宋_GB2312"/>
          <w:sz w:val="28"/>
          <w:szCs w:val="28"/>
        </w:rPr>
        <w:t>.15%；国有资本经营预算财政拨款收入</w:t>
      </w:r>
      <w:r>
        <w:rPr>
          <w:rFonts w:ascii="仿宋_GB2312" w:eastAsia="仿宋_GB2312"/>
          <w:sz w:val="28"/>
          <w:szCs w:val="28"/>
        </w:rPr>
        <w:t>0</w:t>
      </w:r>
      <w:r>
        <w:rPr>
          <w:rFonts w:hint="eastAsia" w:ascii="仿宋_GB2312" w:eastAsia="仿宋_GB2312"/>
          <w:sz w:val="28"/>
          <w:szCs w:val="28"/>
        </w:rPr>
        <w:t>.00万元，占收入合计的</w:t>
      </w:r>
      <w:r>
        <w:rPr>
          <w:rFonts w:ascii="仿宋_GB2312" w:eastAsia="仿宋_GB2312"/>
          <w:sz w:val="28"/>
          <w:szCs w:val="28"/>
        </w:rPr>
        <w:t>0</w:t>
      </w:r>
      <w:r>
        <w:rPr>
          <w:rFonts w:hint="eastAsia" w:ascii="仿宋_GB2312" w:eastAsia="仿宋_GB2312"/>
          <w:sz w:val="28"/>
          <w:szCs w:val="28"/>
        </w:rPr>
        <w:t>.00%；</w:t>
      </w:r>
    </w:p>
    <w:p w14:paraId="0FF8BFA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.00万元，占收入合计的</w:t>
      </w:r>
      <w:r>
        <w:rPr>
          <w:rFonts w:ascii="仿宋_GB2312" w:eastAsia="仿宋_GB2312"/>
          <w:sz w:val="28"/>
          <w:szCs w:val="28"/>
        </w:rPr>
        <w:t>0</w:t>
      </w:r>
      <w:r>
        <w:rPr>
          <w:rFonts w:hint="eastAsia" w:ascii="仿宋_GB2312" w:eastAsia="仿宋_GB2312"/>
          <w:sz w:val="28"/>
          <w:szCs w:val="28"/>
        </w:rPr>
        <w:t>.00%；</w:t>
      </w:r>
    </w:p>
    <w:p w14:paraId="5B0A96F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.00万元，占收入合计的</w:t>
      </w:r>
      <w:r>
        <w:rPr>
          <w:rFonts w:ascii="仿宋_GB2312" w:eastAsia="仿宋_GB2312"/>
          <w:sz w:val="28"/>
          <w:szCs w:val="28"/>
        </w:rPr>
        <w:t>0</w:t>
      </w:r>
      <w:r>
        <w:rPr>
          <w:rFonts w:hint="eastAsia" w:ascii="仿宋_GB2312" w:eastAsia="仿宋_GB2312"/>
          <w:sz w:val="28"/>
          <w:szCs w:val="28"/>
        </w:rPr>
        <w:t>.00%；</w:t>
      </w:r>
    </w:p>
    <w:p w14:paraId="3B6E6CB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.00万元，占收入合计的</w:t>
      </w:r>
      <w:r>
        <w:rPr>
          <w:rFonts w:ascii="仿宋_GB2312" w:eastAsia="仿宋_GB2312"/>
          <w:sz w:val="28"/>
          <w:szCs w:val="28"/>
        </w:rPr>
        <w:t>0</w:t>
      </w:r>
      <w:r>
        <w:rPr>
          <w:rFonts w:hint="eastAsia" w:ascii="仿宋_GB2312" w:eastAsia="仿宋_GB2312"/>
          <w:sz w:val="28"/>
          <w:szCs w:val="28"/>
        </w:rPr>
        <w:t>.00%；</w:t>
      </w:r>
    </w:p>
    <w:p w14:paraId="73156B9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.00万元，占收入合计的</w:t>
      </w:r>
      <w:r>
        <w:rPr>
          <w:rFonts w:ascii="仿宋_GB2312" w:eastAsia="仿宋_GB2312"/>
          <w:sz w:val="28"/>
          <w:szCs w:val="28"/>
        </w:rPr>
        <w:t>0</w:t>
      </w:r>
      <w:r>
        <w:rPr>
          <w:rFonts w:hint="eastAsia" w:ascii="仿宋_GB2312" w:eastAsia="仿宋_GB2312"/>
          <w:sz w:val="28"/>
          <w:szCs w:val="28"/>
        </w:rPr>
        <w:t>.00%；</w:t>
      </w:r>
    </w:p>
    <w:p w14:paraId="2F99911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6.其他收入1179.60万元，占收入合计的</w:t>
      </w:r>
      <w:r>
        <w:rPr>
          <w:rFonts w:ascii="仿宋_GB2312" w:eastAsia="仿宋_GB2312"/>
          <w:sz w:val="28"/>
          <w:szCs w:val="28"/>
        </w:rPr>
        <w:t>0</w:t>
      </w:r>
      <w:r>
        <w:rPr>
          <w:rFonts w:hint="eastAsia" w:ascii="仿宋_GB2312" w:eastAsia="仿宋_GB2312"/>
          <w:sz w:val="28"/>
          <w:szCs w:val="28"/>
        </w:rPr>
        <w:t>.67%。</w:t>
      </w:r>
    </w:p>
    <w:p w14:paraId="76C9A75B">
      <w:pPr>
        <w:tabs>
          <w:tab w:val="center" w:pos="6979"/>
        </w:tabs>
        <w:spacing w:line="580" w:lineRule="exact"/>
        <w:jc w:val="center"/>
      </w:pPr>
      <w:r>
        <w:rPr>
          <w:rFonts w:hint="eastAsia" w:ascii="仿宋_GB2312" w:eastAsia="仿宋_GB2312"/>
          <w:color w:val="000000"/>
          <w:sz w:val="32"/>
          <w:szCs w:val="32"/>
        </w:rPr>
        <w:t>图1：收入决算</w:t>
      </w:r>
    </w:p>
    <w:p w14:paraId="7E839F4A">
      <w:pPr>
        <w:jc w:val="center"/>
      </w:pPr>
      <w:r>
        <w:drawing>
          <wp:inline distT="0" distB="0" distL="114300" distR="114300">
            <wp:extent cx="4351020" cy="2354580"/>
            <wp:effectExtent l="4445" t="4445" r="6985" b="222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961F00C">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398A6D6B">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2023年度本年支出合计186294.18万元，</w:t>
      </w:r>
      <w:r>
        <w:rPr>
          <w:rFonts w:ascii="仿宋_GB2312" w:eastAsia="仿宋_GB2312"/>
          <w:sz w:val="28"/>
          <w:szCs w:val="28"/>
        </w:rPr>
        <w:t>比上年</w:t>
      </w:r>
      <w:r>
        <w:rPr>
          <w:rFonts w:hint="eastAsia" w:ascii="仿宋_GB2312" w:eastAsia="仿宋_GB2312"/>
          <w:sz w:val="28"/>
          <w:szCs w:val="28"/>
        </w:rPr>
        <w:t>减少18523.11万元，下降9.04%，其中：基本支出</w:t>
      </w:r>
      <w:r>
        <w:rPr>
          <w:rFonts w:ascii="仿宋_GB2312" w:eastAsia="仿宋_GB2312"/>
          <w:sz w:val="28"/>
          <w:szCs w:val="28"/>
        </w:rPr>
        <w:t>10266.29</w:t>
      </w:r>
      <w:r>
        <w:rPr>
          <w:rFonts w:hint="eastAsia" w:ascii="仿宋_GB2312" w:eastAsia="仿宋_GB2312"/>
          <w:sz w:val="28"/>
          <w:szCs w:val="28"/>
        </w:rPr>
        <w:t>万元，占支出合计的5.51%；项目支出176027.89万元，占支出合计的94.49%;上缴上级支出</w:t>
      </w:r>
      <w:r>
        <w:rPr>
          <w:rFonts w:ascii="仿宋_GB2312" w:eastAsia="仿宋_GB2312"/>
          <w:sz w:val="28"/>
          <w:szCs w:val="28"/>
        </w:rPr>
        <w:t>0</w:t>
      </w:r>
      <w:r>
        <w:rPr>
          <w:rFonts w:hint="eastAsia" w:ascii="仿宋_GB2312" w:eastAsia="仿宋_GB2312"/>
          <w:sz w:val="28"/>
          <w:szCs w:val="28"/>
        </w:rPr>
        <w:t>.00万元，占支出合计的</w:t>
      </w:r>
      <w:r>
        <w:rPr>
          <w:rFonts w:ascii="仿宋_GB2312" w:eastAsia="仿宋_GB2312"/>
          <w:sz w:val="28"/>
          <w:szCs w:val="28"/>
        </w:rPr>
        <w:t>0</w:t>
      </w:r>
      <w:r>
        <w:rPr>
          <w:rFonts w:hint="eastAsia" w:ascii="仿宋_GB2312" w:eastAsia="仿宋_GB2312"/>
          <w:sz w:val="28"/>
          <w:szCs w:val="28"/>
        </w:rPr>
        <w:t>.00%；经营支出</w:t>
      </w:r>
      <w:r>
        <w:rPr>
          <w:rFonts w:ascii="仿宋_GB2312" w:eastAsia="仿宋_GB2312"/>
          <w:sz w:val="28"/>
          <w:szCs w:val="28"/>
        </w:rPr>
        <w:t>0</w:t>
      </w:r>
      <w:r>
        <w:rPr>
          <w:rFonts w:hint="eastAsia" w:ascii="仿宋_GB2312" w:eastAsia="仿宋_GB2312"/>
          <w:sz w:val="28"/>
          <w:szCs w:val="28"/>
        </w:rPr>
        <w:t>.00万元，占支出合计的</w:t>
      </w:r>
      <w:r>
        <w:rPr>
          <w:rFonts w:ascii="仿宋_GB2312" w:eastAsia="仿宋_GB2312"/>
          <w:sz w:val="28"/>
          <w:szCs w:val="28"/>
        </w:rPr>
        <w:t>0</w:t>
      </w:r>
      <w:r>
        <w:rPr>
          <w:rFonts w:hint="eastAsia" w:ascii="仿宋_GB2312" w:eastAsia="仿宋_GB2312"/>
          <w:sz w:val="28"/>
          <w:szCs w:val="28"/>
        </w:rPr>
        <w:t>.00%；对附属单位补助支出</w:t>
      </w:r>
      <w:r>
        <w:rPr>
          <w:rFonts w:ascii="仿宋_GB2312" w:eastAsia="仿宋_GB2312"/>
          <w:sz w:val="28"/>
          <w:szCs w:val="28"/>
        </w:rPr>
        <w:t>0</w:t>
      </w:r>
      <w:r>
        <w:rPr>
          <w:rFonts w:hint="eastAsia" w:ascii="仿宋_GB2312" w:eastAsia="仿宋_GB2312"/>
          <w:sz w:val="28"/>
          <w:szCs w:val="28"/>
        </w:rPr>
        <w:t>.00万元，占支出合计的</w:t>
      </w:r>
      <w:r>
        <w:rPr>
          <w:rFonts w:ascii="仿宋_GB2312" w:eastAsia="仿宋_GB2312"/>
          <w:sz w:val="28"/>
          <w:szCs w:val="28"/>
        </w:rPr>
        <w:t>0</w:t>
      </w:r>
      <w:r>
        <w:rPr>
          <w:rFonts w:hint="eastAsia" w:ascii="仿宋_GB2312" w:eastAsia="仿宋_GB2312"/>
          <w:sz w:val="28"/>
          <w:szCs w:val="28"/>
        </w:rPr>
        <w:t>.00%。</w:t>
      </w:r>
    </w:p>
    <w:p w14:paraId="13643F45">
      <w:pPr>
        <w:tabs>
          <w:tab w:val="center" w:pos="6979"/>
        </w:tabs>
        <w:spacing w:line="580" w:lineRule="exact"/>
        <w:jc w:val="center"/>
        <w:rPr>
          <w:rFonts w:ascii="仿宋_GB2312" w:eastAsia="仿宋_GB2312"/>
          <w:color w:val="000000"/>
          <w:sz w:val="32"/>
          <w:szCs w:val="32"/>
        </w:rPr>
      </w:pPr>
      <w:r>
        <w:rPr>
          <w:rFonts w:hint="eastAsia" w:ascii="仿宋_GB2312" w:eastAsia="仿宋_GB2312"/>
          <w:color w:val="000000"/>
          <w:sz w:val="32"/>
          <w:szCs w:val="32"/>
        </w:rPr>
        <w:t>图2：基本支出和项目支出情况</w:t>
      </w:r>
    </w:p>
    <w:p w14:paraId="0F89DB24">
      <w:pPr>
        <w:jc w:val="center"/>
        <w:rPr>
          <w:rFonts w:ascii="黑体" w:eastAsia="黑体"/>
          <w:b/>
          <w:sz w:val="28"/>
          <w:szCs w:val="28"/>
        </w:rPr>
      </w:pPr>
      <w:r>
        <w:drawing>
          <wp:inline distT="0" distB="0" distL="114300" distR="114300">
            <wp:extent cx="4511040" cy="2354580"/>
            <wp:effectExtent l="4445" t="4445" r="18415" b="22225"/>
            <wp:docPr id="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EBEFE50">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B0DF41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2023年度财政拨款收、</w:t>
      </w:r>
      <w:r>
        <w:rPr>
          <w:rFonts w:ascii="仿宋_GB2312" w:eastAsia="仿宋_GB2312"/>
          <w:sz w:val="28"/>
          <w:szCs w:val="28"/>
        </w:rPr>
        <w:t>支</w:t>
      </w:r>
      <w:r>
        <w:rPr>
          <w:rFonts w:hint="eastAsia" w:ascii="仿宋_GB2312" w:eastAsia="仿宋_GB2312"/>
          <w:sz w:val="28"/>
          <w:szCs w:val="28"/>
        </w:rPr>
        <w:t>总计</w:t>
      </w:r>
      <w:r>
        <w:rPr>
          <w:rFonts w:hint="eastAsia" w:ascii="仿宋_GB2312" w:eastAsia="仿宋_GB2312"/>
          <w:sz w:val="28"/>
          <w:szCs w:val="28"/>
          <w:lang w:val="en"/>
        </w:rPr>
        <w:t>175960.86</w:t>
      </w:r>
      <w:r>
        <w:rPr>
          <w:rFonts w:hint="eastAsia" w:ascii="仿宋_GB2312" w:eastAsia="仿宋_GB2312"/>
          <w:sz w:val="28"/>
          <w:szCs w:val="28"/>
        </w:rPr>
        <w:t>万元，比上年减少28495.19万元，下降13.94%。主要原因：继续压减非必要和一般性支出。</w:t>
      </w:r>
    </w:p>
    <w:p w14:paraId="1EA0A513">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36BCE7B7">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284983E5">
      <w:pPr>
        <w:ind w:firstLine="537" w:firstLineChars="192"/>
        <w:rPr>
          <w:rFonts w:ascii="仿宋_GB2312" w:eastAsia="仿宋_GB2312"/>
          <w:sz w:val="28"/>
          <w:szCs w:val="28"/>
        </w:rPr>
      </w:pPr>
      <w:r>
        <w:rPr>
          <w:rFonts w:hint="eastAsia" w:ascii="仿宋_GB2312" w:eastAsia="仿宋_GB2312"/>
          <w:sz w:val="28"/>
          <w:szCs w:val="28"/>
        </w:rPr>
        <w:t>2023年度一般公共预算财政拨款支出174815.38万元，主要用于以下方面（按大类）：教育支出173642.25万元，占本年财政拨款支出99.33%；社会保障和就业支出486.89万元，占本年财政拨款支出0.28%；卫生健康支出686.24万元，占本年财政拨款支出0.39%。</w:t>
      </w:r>
    </w:p>
    <w:p w14:paraId="6FAD0B9B">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4DF30662">
      <w:pPr>
        <w:spacing w:line="580" w:lineRule="exact"/>
        <w:ind w:firstLine="560" w:firstLineChars="200"/>
        <w:rPr>
          <w:rFonts w:ascii="仿宋_GB2312" w:eastAsia="仿宋_GB2312"/>
          <w:sz w:val="28"/>
          <w:szCs w:val="28"/>
        </w:rPr>
      </w:pPr>
      <w:r>
        <w:rPr>
          <w:rFonts w:hint="eastAsia" w:ascii="仿宋_GB2312" w:eastAsia="仿宋_GB2312"/>
          <w:sz w:val="28"/>
          <w:szCs w:val="28"/>
        </w:rPr>
        <w:t>1.“教育支出”（类）2023年度决算173642.25万元，比2023年度年初预算增加125074.72万元，增长257.53%。其中：</w:t>
      </w:r>
    </w:p>
    <w:p w14:paraId="7B4B36D5">
      <w:pPr>
        <w:pStyle w:val="2"/>
        <w:ind w:firstLine="560"/>
        <w:rPr>
          <w:rFonts w:ascii="仿宋_GB2312" w:eastAsia="仿宋_GB2312"/>
          <w:sz w:val="28"/>
          <w:szCs w:val="28"/>
        </w:rPr>
      </w:pPr>
      <w:r>
        <w:rPr>
          <w:rFonts w:hint="eastAsia" w:ascii="仿宋_GB2312" w:eastAsia="仿宋_GB2312"/>
          <w:sz w:val="28"/>
          <w:szCs w:val="28"/>
        </w:rPr>
        <w:t>“教育管理事务”（款）2023年度决算9093.16万元，比2023年度年初预算减少601.79万元，下降6.21%。主要原因：根据单位教育事业发展规划，减少项目支出。</w:t>
      </w:r>
    </w:p>
    <w:p w14:paraId="47F16B98">
      <w:p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rPr>
        <w:t>“普通教育”（款）2023年度</w:t>
      </w:r>
      <w:r>
        <w:rPr>
          <w:rFonts w:hint="eastAsia" w:ascii="仿宋_GB2312" w:eastAsia="仿宋_GB2312"/>
          <w:sz w:val="28"/>
          <w:szCs w:val="28"/>
          <w:highlight w:val="none"/>
        </w:rPr>
        <w:t>决算157231.97万元，比2023</w:t>
      </w:r>
      <w:r>
        <w:rPr>
          <w:rFonts w:hint="eastAsia" w:ascii="仿宋_GB2312" w:eastAsia="仿宋_GB2312"/>
          <w:sz w:val="28"/>
          <w:szCs w:val="28"/>
          <w:highlight w:val="none"/>
          <w:lang w:eastAsia="zh-CN"/>
        </w:rPr>
        <w:t>年度</w:t>
      </w:r>
      <w:r>
        <w:rPr>
          <w:rFonts w:hint="eastAsia" w:ascii="仿宋_GB2312" w:eastAsia="仿宋_GB2312"/>
          <w:sz w:val="28"/>
          <w:szCs w:val="28"/>
          <w:highlight w:val="none"/>
        </w:rPr>
        <w:t>年初预算增加124515.92万元，增长380.60%。主要原因：年中安排的双一流建设、北京高校高精尖创新中心建设、首都医学科学创新中心建设项目、双培计划项目形成的支出。</w:t>
      </w:r>
    </w:p>
    <w:p w14:paraId="1EABEA53">
      <w:p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“职业教育”（款）2023年度决算1891.40万元，比2023</w:t>
      </w:r>
      <w:r>
        <w:rPr>
          <w:rFonts w:hint="eastAsia" w:ascii="仿宋_GB2312" w:eastAsia="仿宋_GB2312"/>
          <w:sz w:val="28"/>
          <w:szCs w:val="28"/>
          <w:highlight w:val="none"/>
          <w:lang w:eastAsia="zh-CN"/>
        </w:rPr>
        <w:t>年度</w:t>
      </w:r>
      <w:r>
        <w:rPr>
          <w:rFonts w:hint="eastAsia" w:ascii="仿宋_GB2312" w:eastAsia="仿宋_GB2312"/>
          <w:sz w:val="28"/>
          <w:szCs w:val="28"/>
          <w:highlight w:val="none"/>
        </w:rPr>
        <w:t>年初预算增加1163.62万元，增长159.89%。主要原因：年中安排的贯通培养北京学院项目补贴中央高校经费项目形成的支出。</w:t>
      </w:r>
    </w:p>
    <w:p w14:paraId="2D6443DD">
      <w:pPr>
        <w:pStyle w:val="9"/>
        <w:widowControl/>
        <w:shd w:val="clear" w:color="auto" w:fill="FFFFFF"/>
        <w:ind w:firstLine="560" w:firstLineChars="200"/>
        <w:rPr>
          <w:rFonts w:hint="default" w:eastAsia="仿宋_GB2312"/>
          <w:color w:val="000000"/>
          <w:sz w:val="21"/>
          <w:szCs w:val="21"/>
          <w:highlight w:val="none"/>
        </w:rPr>
      </w:pPr>
      <w:r>
        <w:rPr>
          <w:rFonts w:ascii="仿宋_GB2312" w:eastAsia="仿宋_GB2312"/>
          <w:sz w:val="28"/>
          <w:szCs w:val="28"/>
          <w:highlight w:val="none"/>
        </w:rPr>
        <w:t>“成人教育”（款）2023年度决算475.91万元，比2023</w:t>
      </w:r>
      <w:r>
        <w:rPr>
          <w:rFonts w:hint="eastAsia" w:ascii="仿宋_GB2312" w:eastAsia="仿宋_GB2312"/>
          <w:sz w:val="28"/>
          <w:szCs w:val="28"/>
          <w:highlight w:val="none"/>
          <w:lang w:eastAsia="zh-CN"/>
        </w:rPr>
        <w:t>年度</w:t>
      </w:r>
      <w:r>
        <w:rPr>
          <w:rFonts w:ascii="仿宋_GB2312" w:eastAsia="仿宋_GB2312"/>
          <w:sz w:val="28"/>
          <w:szCs w:val="28"/>
          <w:highlight w:val="none"/>
        </w:rPr>
        <w:t>年初预算减少3.03万元，下降0.63%。主要原因：根据单位教育事业发展规划，减少项目支出。</w:t>
      </w:r>
    </w:p>
    <w:p w14:paraId="27895CFB">
      <w:p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“留学教育”（款）2023年度决算4949.81万元，与2023</w:t>
      </w:r>
      <w:r>
        <w:rPr>
          <w:rFonts w:hint="eastAsia" w:ascii="仿宋_GB2312" w:eastAsia="仿宋_GB2312"/>
          <w:sz w:val="28"/>
          <w:szCs w:val="28"/>
          <w:highlight w:val="none"/>
          <w:lang w:eastAsia="zh-CN"/>
        </w:rPr>
        <w:t>年度</w:t>
      </w:r>
      <w:r>
        <w:rPr>
          <w:rFonts w:hint="eastAsia" w:ascii="仿宋_GB2312" w:eastAsia="仿宋_GB2312"/>
          <w:sz w:val="28"/>
          <w:szCs w:val="28"/>
          <w:highlight w:val="none"/>
        </w:rPr>
        <w:t>年初预算持平。</w:t>
      </w:r>
    </w:p>
    <w:p w14:paraId="13BEED1D">
      <w:p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2.“社会保障和就业支出”(类)2023年度决算486.89万元，比2023年度年初预算减少12.55万元，下降2.51%。其中：</w:t>
      </w:r>
    </w:p>
    <w:p w14:paraId="3A5AAA26">
      <w:p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“行政事业单位养老支出”（款）2023年度决算486.89万元，比2023年度年初预算减少12.55万元，下降2.51%。主要原因：人员变动，按实际支出执行。</w:t>
      </w:r>
    </w:p>
    <w:p w14:paraId="20479F70">
      <w:p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3.“卫生健康支出”(类)2023年度决算686.24万元，比2023年度年初预算减少112.64万元，下降14.10%。其中：</w:t>
      </w:r>
    </w:p>
    <w:p w14:paraId="7DE9CB6B">
      <w:pPr>
        <w:spacing w:line="580" w:lineRule="exact"/>
        <w:ind w:firstLine="560" w:firstLineChars="200"/>
        <w:rPr>
          <w:rFonts w:ascii="仿宋_GB2312" w:eastAsia="仿宋_GB2312"/>
          <w:sz w:val="28"/>
          <w:szCs w:val="28"/>
        </w:rPr>
      </w:pPr>
      <w:r>
        <w:rPr>
          <w:rFonts w:hint="eastAsia" w:ascii="仿宋_GB2312" w:eastAsia="仿宋_GB2312"/>
          <w:sz w:val="28"/>
          <w:szCs w:val="28"/>
          <w:highlight w:val="none"/>
        </w:rPr>
        <w:t>“行政事业单位医疗”（款）2023年度决算686.24万元，比2023年度年初预算减少112.64万元，下降14.10%。</w:t>
      </w:r>
      <w:r>
        <w:rPr>
          <w:rFonts w:hint="eastAsia" w:ascii="仿宋_GB2312" w:eastAsia="仿宋_GB2312"/>
          <w:sz w:val="28"/>
          <w:szCs w:val="28"/>
        </w:rPr>
        <w:t>主要原因：人员变动，按实际支出执行。</w:t>
      </w:r>
    </w:p>
    <w:p w14:paraId="406971C3">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6D18F1AB">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1F19612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2023年度政府性基金预算财政拨款支出259.00万元，主要用于以下方面（按大类）：其他支出259.00万元，占本年财政拨款支出100.00%。</w:t>
      </w:r>
    </w:p>
    <w:p w14:paraId="426DE08D">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14:paraId="6AE0F6FF">
      <w:pPr>
        <w:spacing w:line="580" w:lineRule="exact"/>
        <w:ind w:firstLine="560" w:firstLineChars="200"/>
        <w:rPr>
          <w:rFonts w:ascii="仿宋_GB2312" w:eastAsia="仿宋_GB2312"/>
          <w:sz w:val="28"/>
          <w:szCs w:val="28"/>
        </w:rPr>
      </w:pPr>
      <w:r>
        <w:rPr>
          <w:rFonts w:hint="eastAsia" w:ascii="仿宋_GB2312" w:eastAsia="仿宋_GB2312"/>
          <w:sz w:val="28"/>
          <w:szCs w:val="28"/>
        </w:rPr>
        <w:t>“其他支出”（类）2023年度决算259.00万元，比2023年度年初预算增加14.00万元。其中：</w:t>
      </w:r>
    </w:p>
    <w:p w14:paraId="41F2EADE">
      <w:pPr>
        <w:spacing w:line="580" w:lineRule="exact"/>
        <w:ind w:firstLine="560" w:firstLineChars="200"/>
        <w:rPr>
          <w:rFonts w:ascii="仿宋_GB2312" w:eastAsia="仿宋_GB2312"/>
          <w:sz w:val="28"/>
          <w:szCs w:val="28"/>
        </w:rPr>
      </w:pPr>
      <w:r>
        <w:rPr>
          <w:rFonts w:hint="eastAsia" w:ascii="仿宋_GB2312" w:eastAsia="仿宋_GB2312"/>
          <w:sz w:val="28"/>
          <w:szCs w:val="28"/>
        </w:rPr>
        <w:t>“彩票公益金安排的支出”（款）2023年度决算259.00万元，比2023年度年初预算增加14.00万元。主要原因：该项目是中央财政下达的彩票公益金项目，主要用于支持北京地区高校开展创新创业学院和创新创业教育实践基地建设。</w:t>
      </w:r>
    </w:p>
    <w:p w14:paraId="215B8FA7">
      <w:pPr>
        <w:spacing w:line="580" w:lineRule="exact"/>
        <w:ind w:firstLine="560" w:firstLineChars="200"/>
        <w:rPr>
          <w:rFonts w:ascii="黑体" w:eastAsia="黑体"/>
          <w:b/>
          <w:sz w:val="28"/>
          <w:szCs w:val="28"/>
        </w:rPr>
      </w:pPr>
      <w:r>
        <w:rPr>
          <w:rFonts w:hint="eastAsia" w:ascii="黑体" w:eastAsia="黑体"/>
          <w:b/>
          <w:sz w:val="28"/>
          <w:szCs w:val="28"/>
        </w:rPr>
        <w:t>六、国有资本经营预算财政拨款收支情况</w:t>
      </w:r>
    </w:p>
    <w:p w14:paraId="5EE672F9">
      <w:pPr>
        <w:spacing w:line="580" w:lineRule="exact"/>
        <w:ind w:firstLine="548" w:firstLineChars="196"/>
        <w:rPr>
          <w:rFonts w:ascii="仿宋_GB2312" w:eastAsia="仿宋_GB2312"/>
          <w:sz w:val="28"/>
          <w:szCs w:val="28"/>
        </w:rPr>
      </w:pPr>
      <w:r>
        <w:rPr>
          <w:rFonts w:hint="eastAsia" w:ascii="仿宋_GB2312" w:eastAsia="仿宋_GB2312"/>
          <w:sz w:val="28"/>
          <w:szCs w:val="28"/>
        </w:rPr>
        <w:t>本年度无此项经费。</w:t>
      </w:r>
    </w:p>
    <w:p w14:paraId="749CD565">
      <w:pPr>
        <w:spacing w:line="580" w:lineRule="exact"/>
        <w:ind w:firstLine="560" w:firstLineChars="200"/>
        <w:rPr>
          <w:rFonts w:ascii="黑体" w:eastAsia="黑体"/>
          <w:sz w:val="28"/>
          <w:szCs w:val="28"/>
        </w:rPr>
      </w:pPr>
      <w:r>
        <w:rPr>
          <w:rFonts w:hint="eastAsia" w:ascii="黑体" w:eastAsia="黑体"/>
          <w:b/>
          <w:sz w:val="28"/>
          <w:szCs w:val="28"/>
        </w:rPr>
        <w:t>七、财政拨款基本支出决算情况说明</w:t>
      </w:r>
    </w:p>
    <w:p w14:paraId="3381CC95">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2023年度使用一般公共预算财政拨款安排基本支出10266.29万元，使用政府性基金财政拨款安排基本支出0.00万元，其中：（1）工资福利支出包括基本工资、津贴补贴、奖金、伙食补助费、绩效工资、其他社会保障缴费、其他工资福利等支出；（2）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3）对个人和家庭补助支出包括离休费、退休费、抚恤金、生活补助、救济费、医疗费补助、助学金、奖励金、其他对个人和家庭的补助等支出。（4）其他资本性支出包括办公设备购置、专用设备购置等。</w:t>
      </w:r>
    </w:p>
    <w:p w14:paraId="45863542">
      <w:pPr>
        <w:autoSpaceDE w:val="0"/>
        <w:autoSpaceDN w:val="0"/>
        <w:adjustRightInd w:val="0"/>
        <w:spacing w:line="580" w:lineRule="exact"/>
        <w:ind w:firstLine="560" w:firstLineChars="200"/>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2023年度</w:t>
      </w:r>
      <w:r>
        <w:rPr>
          <w:rFonts w:hint="eastAsia" w:ascii="宋体" w:hAnsi="宋体" w:cs="宋体"/>
          <w:b/>
          <w:spacing w:val="40"/>
          <w:kern w:val="0"/>
          <w:sz w:val="32"/>
          <w:szCs w:val="32"/>
        </w:rPr>
        <w:t>其他重要事项的情况说明</w:t>
      </w:r>
    </w:p>
    <w:p w14:paraId="13F95177">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67C829F9">
      <w:pPr>
        <w:spacing w:line="560" w:lineRule="exact"/>
        <w:ind w:firstLine="600"/>
        <w:rPr>
          <w:rFonts w:ascii="仿宋_GB2312"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rPr>
        <w:t>1</w:t>
      </w:r>
      <w:r>
        <w:rPr>
          <w:rFonts w:hint="eastAsia" w:ascii="仿宋_GB2312" w:eastAsia="仿宋_GB2312"/>
          <w:sz w:val="28"/>
          <w:szCs w:val="28"/>
        </w:rPr>
        <w:t>个行政单位、0个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rPr>
        <w:t>0个</w:t>
      </w:r>
      <w:r>
        <w:rPr>
          <w:rFonts w:hint="eastAsia" w:ascii="仿宋_GB2312" w:eastAsia="仿宋_GB2312"/>
          <w:sz w:val="28"/>
          <w:szCs w:val="28"/>
        </w:rPr>
        <w:t>事业单位。2023年度“三公”经费财政拨款决算数26.52万元，比2023年度“三公”经费财政拨款年初预算227.28万元减少200.76万元。其中：</w:t>
      </w:r>
    </w:p>
    <w:p w14:paraId="35719447">
      <w:pPr>
        <w:spacing w:line="560" w:lineRule="exact"/>
        <w:ind w:firstLine="600"/>
        <w:rPr>
          <w:rFonts w:ascii="仿宋_GB2312" w:eastAsia="仿宋_GB2312"/>
          <w:sz w:val="28"/>
          <w:szCs w:val="28"/>
        </w:rPr>
      </w:pPr>
      <w:r>
        <w:rPr>
          <w:rFonts w:hint="eastAsia" w:ascii="仿宋_GB2312" w:eastAsia="仿宋_GB2312"/>
          <w:sz w:val="28"/>
          <w:szCs w:val="28"/>
        </w:rPr>
        <w:t>1.因公出国（境）费用。2023年度决算数2.15万元，比2023年度年初预算数174.42万元减少172.27万元。主要原因：落实政府过紧日子要求，严格控制因公出国数量、规模和标准。2023年度因公出国（境）费用主要用于教育交流、调研等方面，2023年度组织因公出国（境）团组5个、8人次，人均因公出国（境）费用0.27万元。</w:t>
      </w:r>
    </w:p>
    <w:p w14:paraId="0C0CB874">
      <w:pPr>
        <w:tabs>
          <w:tab w:val="center" w:pos="6979"/>
        </w:tabs>
        <w:ind w:firstLine="554" w:firstLineChars="198"/>
        <w:rPr>
          <w:rFonts w:ascii="仿宋_GB2312" w:eastAsia="仿宋_GB2312"/>
          <w:sz w:val="28"/>
          <w:szCs w:val="28"/>
        </w:rPr>
      </w:pPr>
      <w:r>
        <w:rPr>
          <w:rFonts w:hint="eastAsia" w:ascii="仿宋_GB2312" w:eastAsia="仿宋_GB2312"/>
          <w:sz w:val="28"/>
          <w:szCs w:val="28"/>
        </w:rPr>
        <w:t>2.公务接待费。2023年度决算数0.38万元，比2023年度年初预算数10.09万元减少9.71万元。主要原因：落实政府过紧日子要求，厉行勤俭节约，严控公务接待费支出。2023年度公务接待费主要用于接待香港教育局拜访。公务接待1批次，公务接待6人次。</w:t>
      </w:r>
    </w:p>
    <w:p w14:paraId="3C66AE9C">
      <w:pPr>
        <w:tabs>
          <w:tab w:val="center" w:pos="6979"/>
        </w:tabs>
        <w:ind w:firstLine="554" w:firstLineChars="198"/>
        <w:rPr>
          <w:rFonts w:ascii="仿宋_GB2312" w:eastAsia="仿宋_GB2312"/>
          <w:sz w:val="28"/>
          <w:szCs w:val="28"/>
        </w:rPr>
      </w:pPr>
      <w:r>
        <w:rPr>
          <w:rFonts w:hint="eastAsia" w:ascii="仿宋_GB2312" w:eastAsia="仿宋_GB2312"/>
          <w:sz w:val="28"/>
          <w:szCs w:val="28"/>
        </w:rPr>
        <w:t>3.公务用车购置及运行维护费。2023年度决算数23.99万元，比2023年度年初预算数42.77万元减少18.78万元。</w:t>
      </w:r>
    </w:p>
    <w:p w14:paraId="2C1ED706">
      <w:pPr>
        <w:tabs>
          <w:tab w:val="center" w:pos="6979"/>
        </w:tabs>
        <w:ind w:firstLine="554" w:firstLineChars="198"/>
        <w:rPr>
          <w:rFonts w:ascii="仿宋_GB2312" w:eastAsia="仿宋_GB2312"/>
          <w:sz w:val="28"/>
          <w:szCs w:val="28"/>
        </w:rPr>
      </w:pPr>
      <w:r>
        <w:rPr>
          <w:rFonts w:hint="eastAsia" w:ascii="仿宋_GB2312" w:eastAsia="仿宋_GB2312"/>
          <w:sz w:val="28"/>
          <w:szCs w:val="28"/>
        </w:rPr>
        <w:t>其中，公务用车购置费2023年度决算数0.00万元，与2023年度年初预算数持平。2023年度购置（更新）0辆，车均购置费0.00万元。公务用车运行维护费2023年度决算数23.99万元，比2023年度年初预算数42.77万元减少18.78万元，主要原因：厉行节约,严控公务用车运维支出。2023年度公务用车运行维护费中，公务用车加油8.00万元，公务用车维修10.51万元，公务用车保险2.83万元，公务用车其他支出2.65万元。2023年度公务用车保有量20辆，车均运行维护费1.20万元。</w:t>
      </w:r>
    </w:p>
    <w:p w14:paraId="0630F6B1">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250FE8D1">
      <w:pPr>
        <w:ind w:firstLine="560" w:firstLineChars="200"/>
        <w:rPr>
          <w:rFonts w:ascii="仿宋_GB2312" w:eastAsia="仿宋_GB2312"/>
          <w:sz w:val="28"/>
          <w:szCs w:val="28"/>
        </w:rPr>
      </w:pPr>
      <w:r>
        <w:rPr>
          <w:rFonts w:hint="eastAsia" w:ascii="仿宋_GB2312" w:eastAsia="仿宋_GB2312"/>
          <w:sz w:val="28"/>
          <w:szCs w:val="28"/>
        </w:rPr>
        <w:t>2023年度使用财政拨款安排的基本支出中的日常公用经费支出，合计1403.50万元，比上年减少2.63万元，减少原因：落实政府过紧日子要求，厉行勤俭节约，严控机关运行经费。</w:t>
      </w:r>
    </w:p>
    <w:p w14:paraId="1D650372">
      <w:pPr>
        <w:ind w:firstLine="560" w:firstLineChars="200"/>
        <w:rPr>
          <w:rFonts w:ascii="黑体" w:eastAsia="黑体"/>
          <w:sz w:val="28"/>
          <w:szCs w:val="28"/>
        </w:rPr>
      </w:pPr>
      <w:r>
        <w:rPr>
          <w:rFonts w:hint="eastAsia" w:ascii="黑体" w:eastAsia="黑体"/>
          <w:sz w:val="28"/>
          <w:szCs w:val="28"/>
        </w:rPr>
        <w:t>三、政府采购支出情况</w:t>
      </w:r>
    </w:p>
    <w:p w14:paraId="39033B48">
      <w:pPr>
        <w:ind w:firstLine="537" w:firstLineChars="192"/>
        <w:rPr>
          <w:rFonts w:ascii="仿宋_GB2312" w:eastAsia="仿宋_GB2312"/>
          <w:sz w:val="28"/>
          <w:szCs w:val="28"/>
        </w:rPr>
      </w:pPr>
      <w:r>
        <w:rPr>
          <w:rFonts w:hint="eastAsia" w:ascii="仿宋_GB2312" w:eastAsia="仿宋_GB2312"/>
          <w:sz w:val="28"/>
          <w:szCs w:val="28"/>
        </w:rPr>
        <w:t>2023年度政府采购支出总额25606.67万元，其中：政府采购货物支出17314.73万元，政府采购工程支出</w:t>
      </w:r>
      <w:r>
        <w:rPr>
          <w:rFonts w:ascii="仿宋_GB2312" w:eastAsia="仿宋_GB2312"/>
          <w:sz w:val="28"/>
          <w:szCs w:val="28"/>
        </w:rPr>
        <w:t>0</w:t>
      </w:r>
      <w:r>
        <w:rPr>
          <w:rFonts w:hint="eastAsia" w:ascii="仿宋_GB2312" w:eastAsia="仿宋_GB2312"/>
          <w:sz w:val="28"/>
          <w:szCs w:val="28"/>
        </w:rPr>
        <w:t>.00万元，政府采购服务支出8291.94万元。授予中小企业合同金额3041.19万元，占政府采购支出总额的11.88%，其中：授予小微企业合同金额2139.94万元，占政府采购支出总额的8.36%。</w:t>
      </w:r>
    </w:p>
    <w:p w14:paraId="282A1F77">
      <w:pPr>
        <w:ind w:firstLine="560" w:firstLineChars="200"/>
        <w:rPr>
          <w:rFonts w:ascii="黑体" w:eastAsia="黑体"/>
          <w:sz w:val="28"/>
          <w:szCs w:val="28"/>
        </w:rPr>
      </w:pPr>
      <w:r>
        <w:rPr>
          <w:rFonts w:hint="eastAsia" w:ascii="黑体" w:eastAsia="黑体"/>
          <w:sz w:val="28"/>
          <w:szCs w:val="28"/>
        </w:rPr>
        <w:t>四、国有资产占用情况</w:t>
      </w:r>
    </w:p>
    <w:p w14:paraId="17768ABE">
      <w:pPr>
        <w:ind w:firstLine="537" w:firstLineChars="192"/>
        <w:rPr>
          <w:rFonts w:ascii="仿宋_GB2312" w:eastAsia="仿宋_GB2312"/>
          <w:sz w:val="28"/>
          <w:szCs w:val="28"/>
        </w:rPr>
      </w:pPr>
      <w:r>
        <w:rPr>
          <w:rFonts w:hint="eastAsia" w:ascii="仿宋_GB2312" w:eastAsia="仿宋_GB2312"/>
          <w:sz w:val="28"/>
          <w:szCs w:val="28"/>
        </w:rPr>
        <w:t>2023年度新购置车辆0台，共计0.00万元；新购置单位价值100万元（含）以上的设备0台（套），共计0.00万元。截至12月31日，</w:t>
      </w:r>
      <w:r>
        <w:rPr>
          <w:rFonts w:hint="eastAsia" w:ascii="仿宋_GB2312" w:eastAsia="仿宋_GB2312"/>
          <w:color w:val="auto"/>
          <w:sz w:val="28"/>
          <w:szCs w:val="28"/>
          <w:highlight w:val="none"/>
          <w:lang w:eastAsia="zh-CN"/>
        </w:rPr>
        <w:t>北京市教育委员会</w:t>
      </w:r>
      <w:r>
        <w:rPr>
          <w:rFonts w:hint="eastAsia" w:ascii="仿宋_GB2312" w:eastAsia="仿宋_GB2312"/>
          <w:sz w:val="28"/>
          <w:szCs w:val="28"/>
          <w:highlight w:val="none"/>
        </w:rPr>
        <w:t>共</w:t>
      </w:r>
      <w:r>
        <w:rPr>
          <w:rFonts w:hint="eastAsia" w:ascii="仿宋_GB2312" w:eastAsia="仿宋_GB2312"/>
          <w:sz w:val="28"/>
          <w:szCs w:val="28"/>
        </w:rPr>
        <w:t>有车辆20台，共计407.93万元；单位价值100万元（含）以上的设备0台（套），共计0.00万元。</w:t>
      </w:r>
    </w:p>
    <w:p w14:paraId="7B720613">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6678A413">
      <w:pPr>
        <w:ind w:firstLine="537" w:firstLineChars="192"/>
        <w:rPr>
          <w:rFonts w:ascii="仿宋_GB2312" w:eastAsia="仿宋_GB2312"/>
          <w:sz w:val="28"/>
          <w:szCs w:val="28"/>
        </w:rPr>
      </w:pPr>
      <w:r>
        <w:rPr>
          <w:rFonts w:hint="eastAsia" w:ascii="仿宋_GB2312" w:eastAsia="仿宋_GB2312"/>
          <w:sz w:val="28"/>
          <w:szCs w:val="28"/>
        </w:rPr>
        <w:t>2023年度</w:t>
      </w:r>
      <w:r>
        <w:rPr>
          <w:rFonts w:ascii="仿宋_GB2312" w:eastAsia="仿宋_GB2312"/>
          <w:sz w:val="28"/>
          <w:szCs w:val="28"/>
        </w:rPr>
        <w:t>政府购买服务决算</w:t>
      </w:r>
      <w:r>
        <w:rPr>
          <w:rFonts w:hint="eastAsia" w:ascii="仿宋_GB2312" w:eastAsia="仿宋_GB2312"/>
          <w:sz w:val="28"/>
          <w:szCs w:val="28"/>
        </w:rPr>
        <w:t>8416.85万元。</w:t>
      </w:r>
      <w:bookmarkStart w:id="0" w:name="_GoBack"/>
      <w:bookmarkEnd w:id="0"/>
    </w:p>
    <w:p w14:paraId="21C0EA36">
      <w:pPr>
        <w:ind w:firstLine="560" w:firstLineChars="200"/>
        <w:jc w:val="left"/>
        <w:rPr>
          <w:rFonts w:ascii="仿宋_GB2312" w:eastAsia="黑体"/>
          <w:color w:val="000000"/>
          <w:sz w:val="32"/>
          <w:szCs w:val="32"/>
        </w:rPr>
      </w:pPr>
      <w:r>
        <w:rPr>
          <w:rFonts w:hint="eastAsia" w:ascii="黑体" w:eastAsia="黑体"/>
          <w:sz w:val="28"/>
          <w:szCs w:val="28"/>
        </w:rPr>
        <w:t>六、</w:t>
      </w:r>
      <w:r>
        <w:rPr>
          <w:rFonts w:ascii="黑体" w:eastAsia="黑体"/>
          <w:sz w:val="28"/>
          <w:szCs w:val="28"/>
        </w:rPr>
        <w:t>专业名词解释</w:t>
      </w:r>
    </w:p>
    <w:p w14:paraId="44057731">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A1D6C74">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0573B3FC">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4B9D1146">
      <w:pPr>
        <w:spacing w:line="560" w:lineRule="exact"/>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5F4BA7A6">
      <w:pPr>
        <w:spacing w:line="560" w:lineRule="exact"/>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3FF21ACC">
      <w:pPr>
        <w:spacing w:line="560" w:lineRule="exact"/>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6874A0C9">
      <w:pPr>
        <w:spacing w:line="560" w:lineRule="exact"/>
        <w:ind w:firstLine="420" w:firstLineChars="150"/>
        <w:rPr>
          <w:rFonts w:ascii="仿宋_GB2312" w:eastAsia="仿宋_GB2312"/>
          <w:sz w:val="28"/>
          <w:szCs w:val="28"/>
        </w:rPr>
      </w:pPr>
      <w:r>
        <w:rPr>
          <w:rFonts w:hint="eastAsia" w:ascii="仿宋_GB2312" w:eastAsia="仿宋_GB2312"/>
          <w:sz w:val="28"/>
          <w:szCs w:val="28"/>
        </w:rPr>
        <w:t>7.教育支出（类）普通教育（款）小学教育（项）：指各部门举办的小学教育支出。政府各部门对社会组织等举办的小学的资助，如捐赠、补贴等，也在本科目中反映。</w:t>
      </w:r>
    </w:p>
    <w:p w14:paraId="639DDE1E">
      <w:pPr>
        <w:spacing w:line="560" w:lineRule="exact"/>
        <w:ind w:firstLine="420" w:firstLineChars="150"/>
        <w:rPr>
          <w:rFonts w:ascii="仿宋_GB2312" w:eastAsia="仿宋_GB2312"/>
          <w:sz w:val="28"/>
          <w:szCs w:val="28"/>
        </w:rPr>
      </w:pPr>
      <w:r>
        <w:rPr>
          <w:rFonts w:hint="eastAsia" w:ascii="仿宋_GB2312" w:eastAsia="仿宋_GB2312"/>
          <w:sz w:val="28"/>
          <w:szCs w:val="28"/>
        </w:rPr>
        <w:t>8.教育支出（类）普通教育（款）初中教育（项）：指各部门举办的初中教育支出。政府各部门对社会组织等举办的初中的资助，如捐赠、补贴等，也在本科目中反映。</w:t>
      </w:r>
    </w:p>
    <w:p w14:paraId="215C859F">
      <w:pPr>
        <w:spacing w:line="560" w:lineRule="exact"/>
        <w:ind w:firstLine="560" w:firstLineChars="200"/>
        <w:rPr>
          <w:rFonts w:ascii="仿宋_GB2312" w:eastAsia="仿宋_GB2312"/>
          <w:sz w:val="28"/>
          <w:szCs w:val="28"/>
        </w:rPr>
      </w:pPr>
      <w:r>
        <w:rPr>
          <w:rFonts w:hint="eastAsia" w:ascii="仿宋_GB2312" w:eastAsia="仿宋_GB2312"/>
          <w:sz w:val="28"/>
          <w:szCs w:val="28"/>
        </w:rPr>
        <w:t>9.教育支出（类）普通教育（款）高中教育（项）：指各部门举办的普通高中教育支出。政府各部门对社会组织等举办的普通高中的资助，如捐赠、补贴等，也在本科目中反映。</w:t>
      </w:r>
    </w:p>
    <w:p w14:paraId="1A2BB28D">
      <w:pPr>
        <w:spacing w:line="560" w:lineRule="exact"/>
        <w:ind w:firstLine="560" w:firstLineChars="200"/>
        <w:rPr>
          <w:rFonts w:ascii="仿宋_GB2312" w:eastAsia="仿宋_GB2312"/>
          <w:sz w:val="28"/>
          <w:szCs w:val="28"/>
        </w:rPr>
      </w:pPr>
      <w:r>
        <w:rPr>
          <w:rFonts w:hint="eastAsia" w:ascii="仿宋_GB2312" w:eastAsia="仿宋_GB2312"/>
          <w:sz w:val="28"/>
          <w:szCs w:val="28"/>
        </w:rPr>
        <w:t>10.教育支出（类）普通教育（款）高等教育（项）：指各部门举办的普通本科（包括研究生）教育支出。政府各部门对社会组织等举办的普通本科高等院校 (包括研究生)的资助，如捐赠、补贴等，也在本科目中反映。</w:t>
      </w:r>
    </w:p>
    <w:p w14:paraId="4891B165">
      <w:pPr>
        <w:spacing w:line="560" w:lineRule="exact"/>
        <w:ind w:firstLine="560" w:firstLineChars="200"/>
        <w:rPr>
          <w:rFonts w:ascii="仿宋_GB2312" w:eastAsia="仿宋_GB2312"/>
          <w:sz w:val="28"/>
          <w:szCs w:val="28"/>
        </w:rPr>
      </w:pPr>
      <w:r>
        <w:rPr>
          <w:rFonts w:hint="eastAsia" w:ascii="仿宋_GB2312" w:eastAsia="仿宋_GB2312"/>
          <w:sz w:val="28"/>
          <w:szCs w:val="28"/>
        </w:rPr>
        <w:t>11.教育支出（类）普通教育（款）其他普通教育支出（项）：指除学前教育、小学教育、初中教育、高中教育、高等教育以外其他用于普通教育支出方面的支出。</w:t>
      </w:r>
    </w:p>
    <w:p w14:paraId="5703C3AD">
      <w:pPr>
        <w:spacing w:line="560" w:lineRule="exact"/>
        <w:ind w:firstLine="560" w:firstLineChars="200"/>
        <w:rPr>
          <w:rFonts w:ascii="仿宋_GB2312" w:eastAsia="仿宋_GB2312"/>
          <w:sz w:val="28"/>
          <w:szCs w:val="28"/>
        </w:rPr>
      </w:pPr>
      <w:r>
        <w:rPr>
          <w:rFonts w:hint="eastAsia" w:ascii="仿宋_GB2312" w:eastAsia="仿宋_GB2312"/>
          <w:sz w:val="28"/>
          <w:szCs w:val="28"/>
        </w:rPr>
        <w:t>12.教育支出（类）职业教育（款）高等职业教育（项）：指各部门举办的本科、专科层次职业教育支出。政府各部门对社会组织等举办的本科、专科层次职业院校的资助，如捐赠、补贴等，也在本科目中反映。</w:t>
      </w:r>
    </w:p>
    <w:p w14:paraId="0F22C565">
      <w:pPr>
        <w:spacing w:line="560" w:lineRule="exact"/>
        <w:ind w:firstLine="560" w:firstLineChars="200"/>
        <w:rPr>
          <w:rFonts w:ascii="仿宋_GB2312" w:eastAsia="仿宋_GB2312"/>
          <w:sz w:val="28"/>
          <w:szCs w:val="28"/>
        </w:rPr>
      </w:pPr>
      <w:r>
        <w:rPr>
          <w:rFonts w:hint="eastAsia" w:ascii="仿宋_GB2312" w:eastAsia="仿宋_GB2312"/>
          <w:sz w:val="28"/>
          <w:szCs w:val="28"/>
        </w:rPr>
        <w:t>13.教育支出（类）职业教育（款）其他职业教育支出（项）：指除初等职业教育、中等职业教育、技校教育、高等职业教育以外用于职业教育方面的支出。</w:t>
      </w:r>
    </w:p>
    <w:p w14:paraId="3D4E90C3">
      <w:pPr>
        <w:spacing w:line="560" w:lineRule="exact"/>
        <w:ind w:firstLine="560" w:firstLineChars="200"/>
        <w:rPr>
          <w:rFonts w:ascii="仿宋_GB2312" w:eastAsia="仿宋_GB2312"/>
          <w:sz w:val="28"/>
          <w:szCs w:val="28"/>
        </w:rPr>
      </w:pPr>
      <w:r>
        <w:rPr>
          <w:rFonts w:hint="eastAsia" w:ascii="仿宋_GB2312" w:eastAsia="仿宋_GB2312"/>
          <w:sz w:val="28"/>
          <w:szCs w:val="28"/>
        </w:rPr>
        <w:t>14.教育支出（类）成人教育（款）成人高等教育（项）：指各部门举办函授、夜大、高等教育自学考试等方面的支出。</w:t>
      </w:r>
    </w:p>
    <w:p w14:paraId="58318E57">
      <w:pPr>
        <w:spacing w:line="560" w:lineRule="exact"/>
        <w:ind w:firstLine="560" w:firstLineChars="200"/>
        <w:rPr>
          <w:rFonts w:ascii="仿宋_GB2312" w:eastAsia="仿宋_GB2312"/>
          <w:sz w:val="28"/>
          <w:szCs w:val="28"/>
        </w:rPr>
      </w:pPr>
      <w:r>
        <w:rPr>
          <w:rFonts w:hint="eastAsia" w:ascii="仿宋_GB2312" w:eastAsia="仿宋_GB2312"/>
          <w:sz w:val="28"/>
          <w:szCs w:val="28"/>
        </w:rPr>
        <w:t>15.教育支出（类）成人教育（款）其他成人教育支出（项）：指除成人初等教育、成人中等教育、成人高等教育、成人广播电视教育以外其他用于成人教育方面的支出。</w:t>
      </w:r>
    </w:p>
    <w:p w14:paraId="04E36573">
      <w:pPr>
        <w:pStyle w:val="2"/>
        <w:spacing w:line="560" w:lineRule="exact"/>
        <w:ind w:firstLine="56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lang w:val="en"/>
        </w:rPr>
        <w:t>6</w:t>
      </w:r>
      <w:r>
        <w:rPr>
          <w:rFonts w:hint="eastAsia" w:ascii="仿宋_GB2312" w:eastAsia="仿宋_GB2312"/>
          <w:sz w:val="28"/>
          <w:szCs w:val="28"/>
        </w:rPr>
        <w:t>.教育支出（类）留学教育（款）来华留学教育（项）：指资助来华留学生支出。</w:t>
      </w:r>
    </w:p>
    <w:p w14:paraId="3EDDAE78">
      <w:pPr>
        <w:spacing w:line="560" w:lineRule="exact"/>
        <w:ind w:firstLine="560" w:firstLineChars="200"/>
        <w:rPr>
          <w:rFonts w:ascii="仿宋_GB2312" w:eastAsia="仿宋_GB2312"/>
          <w:sz w:val="28"/>
          <w:szCs w:val="28"/>
        </w:rPr>
      </w:pPr>
      <w:r>
        <w:rPr>
          <w:rFonts w:hint="eastAsia" w:ascii="仿宋_GB2312" w:eastAsia="仿宋_GB2312"/>
          <w:sz w:val="28"/>
          <w:szCs w:val="28"/>
        </w:rPr>
        <w:t>17.教育支出（类）教育管理事务（款）行政运行（项）：反映行政单位（包括实行公务员管理的事业单位）的基本支出。</w:t>
      </w:r>
    </w:p>
    <w:p w14:paraId="7233419F">
      <w:pPr>
        <w:spacing w:line="560" w:lineRule="exact"/>
        <w:ind w:firstLine="560" w:firstLineChars="200"/>
        <w:rPr>
          <w:rFonts w:ascii="仿宋_GB2312" w:eastAsia="仿宋_GB2312"/>
          <w:sz w:val="28"/>
          <w:szCs w:val="28"/>
        </w:rPr>
      </w:pPr>
      <w:r>
        <w:rPr>
          <w:rFonts w:hint="eastAsia" w:ascii="仿宋_GB2312" w:eastAsia="仿宋_GB2312"/>
          <w:sz w:val="28"/>
          <w:szCs w:val="28"/>
        </w:rPr>
        <w:t>18.社会保障和就业支出（类）行政事业单位养老支出（款）行政单位离退休（项）：反映行政单位（包括实行公务员管理的事业单位）开支的离退休经费。</w:t>
      </w:r>
    </w:p>
    <w:p w14:paraId="370ED854">
      <w:pPr>
        <w:spacing w:line="560" w:lineRule="exact"/>
        <w:ind w:firstLine="560" w:firstLineChars="200"/>
        <w:rPr>
          <w:rFonts w:ascii="仿宋_GB2312" w:eastAsia="仿宋_GB2312"/>
          <w:sz w:val="28"/>
          <w:szCs w:val="28"/>
        </w:rPr>
      </w:pPr>
      <w:r>
        <w:rPr>
          <w:rFonts w:hint="eastAsia" w:ascii="仿宋_GB2312" w:eastAsia="仿宋_GB2312"/>
          <w:sz w:val="28"/>
          <w:szCs w:val="28"/>
        </w:rPr>
        <w:t>19.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14:paraId="33F5D30B">
      <w:pPr>
        <w:spacing w:line="560" w:lineRule="exact"/>
        <w:ind w:firstLine="560" w:firstLineChars="200"/>
        <w:rPr>
          <w:rFonts w:ascii="仿宋_GB2312" w:eastAsia="仿宋_GB2312"/>
          <w:sz w:val="28"/>
          <w:szCs w:val="28"/>
        </w:rPr>
      </w:pPr>
      <w:r>
        <w:rPr>
          <w:rFonts w:hint="eastAsia" w:ascii="仿宋_GB2312" w:eastAsia="仿宋_GB2312"/>
          <w:sz w:val="28"/>
          <w:szCs w:val="28"/>
        </w:rPr>
        <w:t>20.其他支出（类）彩票公益金安排的支出（款）用于教育事业的彩票公益金支出（项）：指用于教育事业的彩票公益金支出。</w:t>
      </w:r>
    </w:p>
    <w:p w14:paraId="5803285E">
      <w:pPr>
        <w:pStyle w:val="2"/>
        <w:ind w:firstLine="420"/>
      </w:pPr>
    </w:p>
    <w:p w14:paraId="5835AF45">
      <w:pPr>
        <w:ind w:firstLine="640" w:firstLineChars="200"/>
        <w:jc w:val="center"/>
        <w:rPr>
          <w:rFonts w:ascii="黑体" w:eastAsia="黑体"/>
          <w:sz w:val="32"/>
          <w:szCs w:val="32"/>
        </w:rPr>
      </w:pPr>
    </w:p>
    <w:p w14:paraId="4FA069A4">
      <w:pPr>
        <w:ind w:firstLine="640" w:firstLineChars="200"/>
        <w:jc w:val="center"/>
        <w:rPr>
          <w:rFonts w:ascii="黑体" w:eastAsia="黑体"/>
          <w:sz w:val="32"/>
          <w:szCs w:val="32"/>
        </w:rPr>
      </w:pPr>
    </w:p>
    <w:p w14:paraId="3A76B28A">
      <w:pPr>
        <w:ind w:firstLine="640" w:firstLineChars="200"/>
        <w:jc w:val="center"/>
        <w:rPr>
          <w:rFonts w:ascii="黑体" w:eastAsia="黑体"/>
          <w:sz w:val="32"/>
          <w:szCs w:val="32"/>
        </w:rPr>
      </w:pPr>
    </w:p>
    <w:p w14:paraId="664A38FD">
      <w:pPr>
        <w:ind w:firstLine="640" w:firstLineChars="200"/>
        <w:jc w:val="center"/>
        <w:rPr>
          <w:rFonts w:ascii="黑体" w:eastAsia="黑体"/>
          <w:sz w:val="32"/>
          <w:szCs w:val="32"/>
        </w:rPr>
      </w:pPr>
    </w:p>
    <w:p w14:paraId="2175DC32">
      <w:pPr>
        <w:rPr>
          <w:rFonts w:ascii="黑体" w:eastAsia="黑体"/>
          <w:sz w:val="32"/>
          <w:szCs w:val="32"/>
        </w:rPr>
      </w:pPr>
    </w:p>
    <w:p w14:paraId="3655A7FD">
      <w:pPr>
        <w:ind w:firstLine="640" w:firstLineChars="200"/>
        <w:jc w:val="center"/>
        <w:rPr>
          <w:rFonts w:ascii="黑体" w:eastAsia="黑体"/>
          <w:sz w:val="32"/>
          <w:szCs w:val="32"/>
        </w:rPr>
      </w:pPr>
    </w:p>
    <w:p w14:paraId="6E633293">
      <w:pPr>
        <w:rPr>
          <w:rFonts w:ascii="黑体" w:eastAsia="黑体"/>
          <w:sz w:val="32"/>
          <w:szCs w:val="32"/>
        </w:rPr>
      </w:pPr>
    </w:p>
    <w:p w14:paraId="45E8CE04">
      <w:pPr>
        <w:jc w:val="center"/>
        <w:rPr>
          <w:rFonts w:ascii="黑体" w:eastAsia="黑体"/>
          <w:sz w:val="32"/>
          <w:szCs w:val="32"/>
        </w:rPr>
      </w:pPr>
    </w:p>
    <w:p w14:paraId="59206BC3">
      <w:pPr>
        <w:jc w:val="center"/>
        <w:rPr>
          <w:rFonts w:ascii="黑体" w:eastAsia="黑体"/>
          <w:sz w:val="32"/>
          <w:szCs w:val="32"/>
        </w:rPr>
      </w:pPr>
    </w:p>
    <w:p w14:paraId="11BC5145">
      <w:pPr>
        <w:jc w:val="center"/>
        <w:rPr>
          <w:rFonts w:ascii="黑体" w:eastAsia="黑体"/>
          <w:sz w:val="32"/>
          <w:szCs w:val="32"/>
        </w:rPr>
      </w:pPr>
    </w:p>
    <w:p w14:paraId="10013484">
      <w:pPr>
        <w:jc w:val="center"/>
        <w:rPr>
          <w:rFonts w:ascii="黑体" w:eastAsia="黑体"/>
          <w:sz w:val="32"/>
          <w:szCs w:val="32"/>
        </w:rPr>
      </w:pPr>
    </w:p>
    <w:p w14:paraId="35AE4111">
      <w:pPr>
        <w:jc w:val="center"/>
        <w:rPr>
          <w:rFonts w:ascii="黑体" w:eastAsia="黑体"/>
          <w:sz w:val="32"/>
          <w:szCs w:val="32"/>
        </w:rPr>
      </w:pPr>
    </w:p>
    <w:p w14:paraId="2EF31736">
      <w:pPr>
        <w:jc w:val="center"/>
        <w:rPr>
          <w:rFonts w:ascii="黑体" w:eastAsia="黑体"/>
          <w:sz w:val="32"/>
          <w:szCs w:val="32"/>
        </w:rPr>
      </w:pPr>
    </w:p>
    <w:p w14:paraId="389DC86B">
      <w:pPr>
        <w:jc w:val="center"/>
        <w:rPr>
          <w:rFonts w:ascii="黑体" w:eastAsia="黑体"/>
          <w:sz w:val="32"/>
          <w:szCs w:val="32"/>
        </w:rPr>
      </w:pPr>
      <w:r>
        <w:rPr>
          <w:rFonts w:hint="eastAsia" w:ascii="黑体" w:eastAsia="黑体"/>
          <w:sz w:val="32"/>
          <w:szCs w:val="32"/>
        </w:rPr>
        <w:t>第四部分  2023年度部门绩效评价情况</w:t>
      </w:r>
    </w:p>
    <w:p w14:paraId="524FB2C5">
      <w:pPr>
        <w:rPr>
          <w:rFonts w:ascii="黑体" w:eastAsia="黑体"/>
          <w:sz w:val="28"/>
          <w:szCs w:val="28"/>
        </w:rPr>
      </w:pPr>
    </w:p>
    <w:p w14:paraId="699ABF77">
      <w:pPr>
        <w:spacing w:line="560" w:lineRule="exact"/>
        <w:ind w:firstLine="560" w:firstLineChars="200"/>
        <w:rPr>
          <w:rFonts w:ascii="仿宋_GB2312" w:eastAsia="仿宋_GB2312"/>
          <w:sz w:val="28"/>
          <w:szCs w:val="28"/>
        </w:rPr>
      </w:pPr>
      <w:r>
        <w:rPr>
          <w:rFonts w:hint="eastAsia" w:ascii="仿宋_GB2312" w:eastAsia="仿宋_GB2312"/>
          <w:sz w:val="28"/>
          <w:szCs w:val="28"/>
        </w:rPr>
        <w:t>项目支出绩效自评表详见附件。</w:t>
      </w:r>
    </w:p>
    <w:p w14:paraId="57E236A6">
      <w:pPr>
        <w:pStyle w:val="3"/>
      </w:pPr>
    </w:p>
    <w:p w14:paraId="55B63179"/>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464F0">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14</w:t>
    </w:r>
    <w:r>
      <w:fldChar w:fldCharType="end"/>
    </w:r>
  </w:p>
  <w:p w14:paraId="1F04406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726ED">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14:paraId="01D8660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9B0FC">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68BA7E7E">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OTdkN2U0NmMzNTI5MjdiOGU2OWE2YmMxNTA1MT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2111"/>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22E7"/>
    <w:rsid w:val="001F5857"/>
    <w:rsid w:val="00206EC3"/>
    <w:rsid w:val="0021047C"/>
    <w:rsid w:val="00211E4E"/>
    <w:rsid w:val="00213D1C"/>
    <w:rsid w:val="00214C3A"/>
    <w:rsid w:val="00217517"/>
    <w:rsid w:val="00222628"/>
    <w:rsid w:val="002253CB"/>
    <w:rsid w:val="002326DE"/>
    <w:rsid w:val="00234314"/>
    <w:rsid w:val="002347AC"/>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1B7E"/>
    <w:rsid w:val="003925D4"/>
    <w:rsid w:val="0039318C"/>
    <w:rsid w:val="00393366"/>
    <w:rsid w:val="003937DC"/>
    <w:rsid w:val="00393D75"/>
    <w:rsid w:val="003948E0"/>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0343"/>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2E2"/>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D18DD"/>
    <w:rsid w:val="005E00DC"/>
    <w:rsid w:val="005E3BBC"/>
    <w:rsid w:val="005E3EC6"/>
    <w:rsid w:val="005E4E07"/>
    <w:rsid w:val="005E4E46"/>
    <w:rsid w:val="005E5275"/>
    <w:rsid w:val="005E7DC8"/>
    <w:rsid w:val="005E7EC9"/>
    <w:rsid w:val="005F7087"/>
    <w:rsid w:val="005F70E6"/>
    <w:rsid w:val="00601ED3"/>
    <w:rsid w:val="00610A3F"/>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1F1"/>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D7207"/>
    <w:rsid w:val="006E4722"/>
    <w:rsid w:val="00701651"/>
    <w:rsid w:val="007049BF"/>
    <w:rsid w:val="00704E79"/>
    <w:rsid w:val="00707A26"/>
    <w:rsid w:val="0071120F"/>
    <w:rsid w:val="00716380"/>
    <w:rsid w:val="00722165"/>
    <w:rsid w:val="00724B1C"/>
    <w:rsid w:val="007428F0"/>
    <w:rsid w:val="007512EF"/>
    <w:rsid w:val="007551AC"/>
    <w:rsid w:val="00756BDC"/>
    <w:rsid w:val="0076101C"/>
    <w:rsid w:val="00763D87"/>
    <w:rsid w:val="007670B2"/>
    <w:rsid w:val="00771795"/>
    <w:rsid w:val="00774925"/>
    <w:rsid w:val="0079279F"/>
    <w:rsid w:val="00793E69"/>
    <w:rsid w:val="007A063C"/>
    <w:rsid w:val="007A16B0"/>
    <w:rsid w:val="007A19EA"/>
    <w:rsid w:val="007A44F1"/>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30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17A2"/>
    <w:rsid w:val="00845576"/>
    <w:rsid w:val="00850708"/>
    <w:rsid w:val="00851024"/>
    <w:rsid w:val="008526D7"/>
    <w:rsid w:val="0086238C"/>
    <w:rsid w:val="008655DC"/>
    <w:rsid w:val="00866363"/>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2C4A"/>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5D26"/>
    <w:rsid w:val="00A6655C"/>
    <w:rsid w:val="00A66CBB"/>
    <w:rsid w:val="00A6704E"/>
    <w:rsid w:val="00A67EA4"/>
    <w:rsid w:val="00A75BCF"/>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33EB"/>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0453"/>
    <w:rsid w:val="00B6204E"/>
    <w:rsid w:val="00B649EC"/>
    <w:rsid w:val="00B728DD"/>
    <w:rsid w:val="00B72D43"/>
    <w:rsid w:val="00B74121"/>
    <w:rsid w:val="00B80ABA"/>
    <w:rsid w:val="00B859FF"/>
    <w:rsid w:val="00B85C1B"/>
    <w:rsid w:val="00B85FF0"/>
    <w:rsid w:val="00B86150"/>
    <w:rsid w:val="00B878F9"/>
    <w:rsid w:val="00B9044A"/>
    <w:rsid w:val="00B94E99"/>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C7E54"/>
    <w:rsid w:val="00CE19F6"/>
    <w:rsid w:val="00CE6B76"/>
    <w:rsid w:val="00CF366B"/>
    <w:rsid w:val="00CF5D9D"/>
    <w:rsid w:val="00CF606C"/>
    <w:rsid w:val="00CF7423"/>
    <w:rsid w:val="00D001F5"/>
    <w:rsid w:val="00D03E80"/>
    <w:rsid w:val="00D118F8"/>
    <w:rsid w:val="00D1505F"/>
    <w:rsid w:val="00D15B9F"/>
    <w:rsid w:val="00D15DD6"/>
    <w:rsid w:val="00D25548"/>
    <w:rsid w:val="00D2601F"/>
    <w:rsid w:val="00D27759"/>
    <w:rsid w:val="00D30028"/>
    <w:rsid w:val="00D325D3"/>
    <w:rsid w:val="00D408D6"/>
    <w:rsid w:val="00D44940"/>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054"/>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3A88"/>
    <w:rsid w:val="00F27B2A"/>
    <w:rsid w:val="00F31762"/>
    <w:rsid w:val="00F32342"/>
    <w:rsid w:val="00F345D3"/>
    <w:rsid w:val="00F356ED"/>
    <w:rsid w:val="00F359B5"/>
    <w:rsid w:val="00F361D9"/>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5783EC5"/>
    <w:rsid w:val="079004AC"/>
    <w:rsid w:val="0F8E2C57"/>
    <w:rsid w:val="1059665E"/>
    <w:rsid w:val="10AC13BA"/>
    <w:rsid w:val="16EEFC0C"/>
    <w:rsid w:val="175F4022"/>
    <w:rsid w:val="1AEC0734"/>
    <w:rsid w:val="1DEF20B0"/>
    <w:rsid w:val="1DF9A085"/>
    <w:rsid w:val="214243FA"/>
    <w:rsid w:val="257A14F5"/>
    <w:rsid w:val="27196C26"/>
    <w:rsid w:val="2975210F"/>
    <w:rsid w:val="29EF086F"/>
    <w:rsid w:val="2BB14D3C"/>
    <w:rsid w:val="2C4C7834"/>
    <w:rsid w:val="2EDDEFC7"/>
    <w:rsid w:val="2EFFE297"/>
    <w:rsid w:val="2F9E4BA6"/>
    <w:rsid w:val="301437CA"/>
    <w:rsid w:val="32FF703C"/>
    <w:rsid w:val="37712F2A"/>
    <w:rsid w:val="3CB44F88"/>
    <w:rsid w:val="3CF9931F"/>
    <w:rsid w:val="3DBFFE32"/>
    <w:rsid w:val="3DFC0B2F"/>
    <w:rsid w:val="3DFE71FE"/>
    <w:rsid w:val="3DFF29F3"/>
    <w:rsid w:val="3EBEC47D"/>
    <w:rsid w:val="3EDC2516"/>
    <w:rsid w:val="3EFE50D6"/>
    <w:rsid w:val="3FAD4FB5"/>
    <w:rsid w:val="3FBF272F"/>
    <w:rsid w:val="3FF85479"/>
    <w:rsid w:val="4247C942"/>
    <w:rsid w:val="433E495C"/>
    <w:rsid w:val="46F72321"/>
    <w:rsid w:val="4AC27CB3"/>
    <w:rsid w:val="4BF72BEF"/>
    <w:rsid w:val="4EFE89DF"/>
    <w:rsid w:val="4FDFD67E"/>
    <w:rsid w:val="4FEED26A"/>
    <w:rsid w:val="51DB3C59"/>
    <w:rsid w:val="53CE67DE"/>
    <w:rsid w:val="55762E42"/>
    <w:rsid w:val="55ACF8D3"/>
    <w:rsid w:val="56FB664E"/>
    <w:rsid w:val="578E874E"/>
    <w:rsid w:val="57A7B272"/>
    <w:rsid w:val="57BB082D"/>
    <w:rsid w:val="58470068"/>
    <w:rsid w:val="5A1720F9"/>
    <w:rsid w:val="5B9C37C2"/>
    <w:rsid w:val="5BA7C654"/>
    <w:rsid w:val="5BD70991"/>
    <w:rsid w:val="5BFF6582"/>
    <w:rsid w:val="5D5F6A53"/>
    <w:rsid w:val="5D7F86C7"/>
    <w:rsid w:val="5EEF43D2"/>
    <w:rsid w:val="5F7C5EB9"/>
    <w:rsid w:val="5FBE662A"/>
    <w:rsid w:val="5FC78701"/>
    <w:rsid w:val="5FEF21F1"/>
    <w:rsid w:val="5FF7471A"/>
    <w:rsid w:val="5FFB31D5"/>
    <w:rsid w:val="5FFF1FE6"/>
    <w:rsid w:val="61DE78FD"/>
    <w:rsid w:val="64C0607C"/>
    <w:rsid w:val="65BB1C72"/>
    <w:rsid w:val="676F09E1"/>
    <w:rsid w:val="69BFED98"/>
    <w:rsid w:val="69FF74B4"/>
    <w:rsid w:val="6BFFCF40"/>
    <w:rsid w:val="6D66B231"/>
    <w:rsid w:val="6D995311"/>
    <w:rsid w:val="6DEF0D4C"/>
    <w:rsid w:val="6F196660"/>
    <w:rsid w:val="6FC7FFB1"/>
    <w:rsid w:val="6FFB592E"/>
    <w:rsid w:val="6FFD3484"/>
    <w:rsid w:val="6FFDEB9F"/>
    <w:rsid w:val="71FBAB83"/>
    <w:rsid w:val="72B77A4F"/>
    <w:rsid w:val="73DF1F8F"/>
    <w:rsid w:val="73DF4820"/>
    <w:rsid w:val="73FFDC2D"/>
    <w:rsid w:val="745B323B"/>
    <w:rsid w:val="7473F60D"/>
    <w:rsid w:val="75DB0003"/>
    <w:rsid w:val="764B28AE"/>
    <w:rsid w:val="766A8B24"/>
    <w:rsid w:val="777639A0"/>
    <w:rsid w:val="77BEDBDC"/>
    <w:rsid w:val="77ED0998"/>
    <w:rsid w:val="77EFB193"/>
    <w:rsid w:val="78ABD217"/>
    <w:rsid w:val="78EE1EBD"/>
    <w:rsid w:val="7A7F1C49"/>
    <w:rsid w:val="7AEC944A"/>
    <w:rsid w:val="7B5B7AE6"/>
    <w:rsid w:val="7BA7071E"/>
    <w:rsid w:val="7BDF6DA8"/>
    <w:rsid w:val="7BEF1D75"/>
    <w:rsid w:val="7BFE2E2D"/>
    <w:rsid w:val="7C7E8D95"/>
    <w:rsid w:val="7C7EDC1A"/>
    <w:rsid w:val="7C7F4071"/>
    <w:rsid w:val="7CCED98D"/>
    <w:rsid w:val="7D08410F"/>
    <w:rsid w:val="7D7F4969"/>
    <w:rsid w:val="7D9DD449"/>
    <w:rsid w:val="7DB96DED"/>
    <w:rsid w:val="7DD3AD81"/>
    <w:rsid w:val="7DFF4A38"/>
    <w:rsid w:val="7ED7C16C"/>
    <w:rsid w:val="7EE0263E"/>
    <w:rsid w:val="7EF7FC28"/>
    <w:rsid w:val="7EFA4227"/>
    <w:rsid w:val="7EFBE6F0"/>
    <w:rsid w:val="7EFFCBAB"/>
    <w:rsid w:val="7F57A492"/>
    <w:rsid w:val="7F67E40E"/>
    <w:rsid w:val="7F7FE70F"/>
    <w:rsid w:val="7FCB85ED"/>
    <w:rsid w:val="7FDD1954"/>
    <w:rsid w:val="7FF56FB0"/>
    <w:rsid w:val="7FFDCBD7"/>
    <w:rsid w:val="7FFEDDDE"/>
    <w:rsid w:val="7FFEED58"/>
    <w:rsid w:val="7FFF0217"/>
    <w:rsid w:val="7FFF4108"/>
    <w:rsid w:val="7FFF772F"/>
    <w:rsid w:val="89C6EAC9"/>
    <w:rsid w:val="8F9E8A2A"/>
    <w:rsid w:val="8FFC08E5"/>
    <w:rsid w:val="93F0166F"/>
    <w:rsid w:val="93FF8DDE"/>
    <w:rsid w:val="95F35EF6"/>
    <w:rsid w:val="98F6A5AA"/>
    <w:rsid w:val="9BFFD860"/>
    <w:rsid w:val="9FF2BADA"/>
    <w:rsid w:val="ABEE6021"/>
    <w:rsid w:val="ABFF51B4"/>
    <w:rsid w:val="AC5F73DE"/>
    <w:rsid w:val="AD7BA356"/>
    <w:rsid w:val="AF7B09D9"/>
    <w:rsid w:val="AFEF8D3D"/>
    <w:rsid w:val="B4F51BAF"/>
    <w:rsid w:val="B5DDD2C8"/>
    <w:rsid w:val="B6FDFD88"/>
    <w:rsid w:val="B7AF98D8"/>
    <w:rsid w:val="B7FF8BCE"/>
    <w:rsid w:val="B9DFABD9"/>
    <w:rsid w:val="BA1ADD5E"/>
    <w:rsid w:val="BABE8E58"/>
    <w:rsid w:val="BBED2728"/>
    <w:rsid w:val="BBF104E8"/>
    <w:rsid w:val="BC0D83FC"/>
    <w:rsid w:val="BDBF23D8"/>
    <w:rsid w:val="BE985D80"/>
    <w:rsid w:val="BECEF29D"/>
    <w:rsid w:val="BF3BDEFB"/>
    <w:rsid w:val="BFFF8FEC"/>
    <w:rsid w:val="C75F6086"/>
    <w:rsid w:val="C7F7ED2D"/>
    <w:rsid w:val="CBCD3361"/>
    <w:rsid w:val="CBF7DD70"/>
    <w:rsid w:val="CBFA8A46"/>
    <w:rsid w:val="CD7D237F"/>
    <w:rsid w:val="CE7F71EE"/>
    <w:rsid w:val="CFAF854E"/>
    <w:rsid w:val="CFB55B38"/>
    <w:rsid w:val="CFFFCD2F"/>
    <w:rsid w:val="D5FF7AF9"/>
    <w:rsid w:val="D8D7928E"/>
    <w:rsid w:val="D8FE3136"/>
    <w:rsid w:val="DDDE60B7"/>
    <w:rsid w:val="DE8F67D9"/>
    <w:rsid w:val="DE9F6A22"/>
    <w:rsid w:val="DF4FCE6A"/>
    <w:rsid w:val="DFFEA923"/>
    <w:rsid w:val="E4FED278"/>
    <w:rsid w:val="EBFE4497"/>
    <w:rsid w:val="EBFE9DEF"/>
    <w:rsid w:val="EDAA365C"/>
    <w:rsid w:val="EDADFC12"/>
    <w:rsid w:val="EDBA26D0"/>
    <w:rsid w:val="EDCC9353"/>
    <w:rsid w:val="EDE6E71C"/>
    <w:rsid w:val="EF6D566F"/>
    <w:rsid w:val="EFBE82F7"/>
    <w:rsid w:val="EFBF8DDF"/>
    <w:rsid w:val="EFFF67BC"/>
    <w:rsid w:val="F196550C"/>
    <w:rsid w:val="F2FD229B"/>
    <w:rsid w:val="F5FF45FB"/>
    <w:rsid w:val="F75DFBD7"/>
    <w:rsid w:val="F7CF4D7E"/>
    <w:rsid w:val="F7EB55DF"/>
    <w:rsid w:val="F7ED8650"/>
    <w:rsid w:val="F7F709E9"/>
    <w:rsid w:val="F7FF3690"/>
    <w:rsid w:val="F9BD3900"/>
    <w:rsid w:val="F9EF82FB"/>
    <w:rsid w:val="FAEF768C"/>
    <w:rsid w:val="FBDDA719"/>
    <w:rsid w:val="FBEF8EB0"/>
    <w:rsid w:val="FBFCFA4B"/>
    <w:rsid w:val="FC8B9876"/>
    <w:rsid w:val="FCBFA5C9"/>
    <w:rsid w:val="FCFFFDD0"/>
    <w:rsid w:val="FD9FBCE7"/>
    <w:rsid w:val="FDB61436"/>
    <w:rsid w:val="FDBF8F3E"/>
    <w:rsid w:val="FDF73158"/>
    <w:rsid w:val="FED754B7"/>
    <w:rsid w:val="FEDBFE31"/>
    <w:rsid w:val="FEDFF218"/>
    <w:rsid w:val="FEDFFFFF"/>
    <w:rsid w:val="FEE959EC"/>
    <w:rsid w:val="FEF68C24"/>
    <w:rsid w:val="FEFF6946"/>
    <w:rsid w:val="FF4F86F0"/>
    <w:rsid w:val="FFA71C6A"/>
    <w:rsid w:val="FFA7588D"/>
    <w:rsid w:val="FFB5D19E"/>
    <w:rsid w:val="FFB9431F"/>
    <w:rsid w:val="FFDBE0A7"/>
    <w:rsid w:val="FFDBECC6"/>
    <w:rsid w:val="FFE11151"/>
    <w:rsid w:val="FFEBBB18"/>
    <w:rsid w:val="FFEEDDE7"/>
    <w:rsid w:val="FFF2B0F2"/>
    <w:rsid w:val="FFF586D4"/>
    <w:rsid w:val="FFF6CAA2"/>
    <w:rsid w:val="FFF771CF"/>
    <w:rsid w:val="FFFBE1DC"/>
    <w:rsid w:val="FFFE75B5"/>
    <w:rsid w:val="FFFE8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5">
    <w:name w:val="页脚 字符"/>
    <w:link w:val="7"/>
    <w:qFormat/>
    <w:uiPriority w:val="0"/>
    <w:rPr>
      <w:rFonts w:eastAsia="宋体"/>
      <w:kern w:val="2"/>
      <w:sz w:val="18"/>
      <w:szCs w:val="18"/>
      <w:lang w:val="en-US" w:eastAsia="zh-CN" w:bidi="ar-SA"/>
    </w:rPr>
  </w:style>
  <w:style w:type="character" w:customStyle="1" w:styleId="16">
    <w:name w:val="页眉 字符"/>
    <w:link w:val="8"/>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qFormat/>
    <w:uiPriority w:val="0"/>
    <w:rPr>
      <w:rFonts w:ascii="Tahoma" w:hAnsi="Tahoma"/>
      <w:sz w:val="24"/>
      <w:szCs w:val="20"/>
    </w:rPr>
  </w:style>
  <w:style w:type="paragraph" w:customStyle="1" w:styleId="18">
    <w:name w:val="Char1 Char Char Char"/>
    <w:basedOn w:val="1"/>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media/uos/43709482-df7a-4519-b1ed-3ebad94d9426/A2&#20915;&#31639;/2023/2023&#24180;&#20915;&#31639;&#33609;&#26696;/&#24213;&#3129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edia/uos/43709482-df7a-4519-b1ed-3ebad94d9426/A2&#20915;&#31639;/2023/2023&#24180;&#20915;&#31639;&#33609;&#26696;/&#24213;&#3129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sz="1800" b="1">
                <a:ea typeface="+mj-ea"/>
              </a:rPr>
              <a:t>收入决算</a:t>
            </a:r>
            <a:endParaRPr lang="zh-CN" altLang="en-US" sz="1800" b="1" i="0" u="none" strike="noStrike" baseline="0">
              <a:solidFill>
                <a:srgbClr val="595959">
                  <a:alpha val="100000"/>
                </a:srgbClr>
              </a:solidFill>
              <a:latin typeface="宋体" panose="02010600030101010101" charset="-122"/>
              <a:ea typeface="+mj-ea"/>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900" b="0" i="0" u="none" strike="noStrike" baseline="0">
                        <a:solidFill>
                          <a:srgbClr val="333333"/>
                        </a:solidFill>
                        <a:latin typeface="宋体" panose="02010600030101010101" charset="-122"/>
                        <a:ea typeface="宋体" panose="02010600030101010101" charset="-122"/>
                        <a:cs typeface="宋体" panose="02010600030101010101" charset="-122"/>
                      </a:rPr>
                      <a:t>99</a:t>
                    </a:r>
                    <a:r>
                      <a:rPr lang="en-US" altLang="zh-CN" sz="9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.33</a:t>
                    </a:r>
                    <a:r>
                      <a:rPr lang="en-US" altLang="zh-CN" sz="900" b="0" i="0" u="none" strike="noStrike" baseline="0">
                        <a:solidFill>
                          <a:srgbClr val="333333"/>
                        </a:solidFill>
                        <a:latin typeface="宋体" panose="02010600030101010101" charset="-122"/>
                        <a:ea typeface="宋体" panose="02010600030101010101" charset="-122"/>
                        <a:cs typeface="宋体" panose="02010600030101010101" charset="-122"/>
                      </a:rPr>
                      <a:t>%</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extLst>
            </c:dLbl>
            <c:dLbl>
              <c:idx val="1"/>
              <c:layout>
                <c:manualLayout>
                  <c:x val="-0.0646519934095548"/>
                  <c:y val="0.057402311550499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9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0.67</a:t>
                    </a:r>
                    <a:r>
                      <a:rPr lang="en-US" sz="900" b="0" i="0" u="none" strike="noStrike" baseline="0">
                        <a:solidFill>
                          <a:srgbClr val="333333"/>
                        </a:solidFill>
                        <a:latin typeface="宋体" panose="02010600030101010101" charset="-122"/>
                        <a:ea typeface="宋体" panose="02010600030101010101" charset="-122"/>
                        <a:cs typeface="宋体" panose="02010600030101010101" charset="-122"/>
                      </a:rPr>
                      <a:t>%</a:t>
                    </a:r>
                    <a:endParaRPr 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[底稿.xls]Sheet1!$C$67:$C$68</c:f>
              <c:strCache>
                <c:ptCount val="2"/>
                <c:pt idx="0">
                  <c:v>财政拨款收入</c:v>
                </c:pt>
                <c:pt idx="1">
                  <c:v>其他收入</c:v>
                </c:pt>
              </c:strCache>
            </c:strRef>
          </c:cat>
          <c:val>
            <c:numRef>
              <c:f>[底稿.xls]Sheet1!$D$67:$D$68</c:f>
              <c:numCache>
                <c:formatCode>General</c:formatCode>
                <c:ptCount val="2"/>
                <c:pt idx="0">
                  <c:v>175947.410114</c:v>
                </c:pt>
                <c:pt idx="1" c:formatCode="#,##0.000000">
                  <c:v>1179.603272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76069090402563"/>
          <c:y val="0.428206319702602"/>
          <c:w val="0.20675"/>
          <c:h val="0.24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sz="1800" b="1">
                <a:ea typeface="+mj-ea"/>
              </a:rPr>
              <a:t>支出决算</a:t>
            </a:r>
            <a:endParaRPr lang="zh-CN" altLang="en-US" sz="1800" b="1" i="0" u="none" strike="noStrike" baseline="0">
              <a:solidFill>
                <a:srgbClr val="595959">
                  <a:alpha val="100000"/>
                </a:srgbClr>
              </a:solidFill>
              <a:latin typeface="宋体" panose="02010600030101010101" charset="-122"/>
              <a:ea typeface="+mj-ea"/>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900" b="0" i="0" u="none" strike="noStrike" baseline="0">
                        <a:solidFill>
                          <a:srgbClr val="333333"/>
                        </a:solidFill>
                        <a:latin typeface="宋体" panose="02010600030101010101" charset="-122"/>
                        <a:ea typeface="宋体" panose="02010600030101010101" charset="-122"/>
                        <a:cs typeface="宋体" panose="02010600030101010101" charset="-122"/>
                      </a:rPr>
                      <a:t>94.49</a:t>
                    </a:r>
                    <a:r>
                      <a:rPr lang="en-US" sz="900" b="0" i="0" u="none" strike="noStrike" baseline="0">
                        <a:solidFill>
                          <a:srgbClr val="333333"/>
                        </a:solidFill>
                        <a:latin typeface="宋体" panose="02010600030101010101" charset="-122"/>
                        <a:ea typeface="宋体" panose="02010600030101010101" charset="-122"/>
                        <a:cs typeface="宋体" panose="02010600030101010101" charset="-122"/>
                      </a:rPr>
                      <a:t>%</a:t>
                    </a:r>
                    <a:endParaRPr 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5.51</a:t>
                    </a:r>
                    <a:r>
                      <a:rPr lang="en-US"/>
                      <a:t>%</a:t>
                    </a:r>
                    <a:endParaRPr lang="en-US"/>
                  </a:p>
                </c:rich>
              </c:tx>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[底稿.xls]Sheet1!$I$67:$I$68</c:f>
              <c:strCache>
                <c:ptCount val="2"/>
                <c:pt idx="0">
                  <c:v>项目支出</c:v>
                </c:pt>
                <c:pt idx="1">
                  <c:v>基本支出</c:v>
                </c:pt>
              </c:strCache>
            </c:strRef>
          </c:cat>
          <c:val>
            <c:numRef>
              <c:f>[底稿.xls]Sheet1!$J$67:$J$68</c:f>
              <c:numCache>
                <c:formatCode>0.000000_ </c:formatCode>
                <c:ptCount val="2"/>
                <c:pt idx="0">
                  <c:v>176027.89</c:v>
                </c:pt>
                <c:pt idx="1" c:formatCode="General">
                  <c:v>10266.29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elations xmlns="http://www.yonyou.com/relation"/>
</file>

<file path=customXml/item2.xml><?xml version="1.0" encoding="utf-8"?>
<dataSourceCollection xmlns="http://www.yonyou.com/datasource"/>
</file>

<file path=customXml/itemProps1.xml><?xml version="1.0" encoding="utf-8"?>
<ds:datastoreItem xmlns:ds="http://schemas.openxmlformats.org/officeDocument/2006/customXml" ds:itemID="{E5C1095C-2D2D-4A76-87FA-6ED39CC90B8B}">
  <ds:schemaRefs/>
</ds:datastoreItem>
</file>

<file path=customXml/itemProps2.xml><?xml version="1.0" encoding="utf-8"?>
<ds:datastoreItem xmlns:ds="http://schemas.openxmlformats.org/officeDocument/2006/customXml" ds:itemID="{2E956CD6-AAA2-43F9-9DF3-4A2E17458A7C}">
  <ds:schemaRefs/>
</ds:datastoreItem>
</file>

<file path=docProps/app.xml><?xml version="1.0" encoding="utf-8"?>
<Properties xmlns="http://schemas.openxmlformats.org/officeDocument/2006/extended-properties" xmlns:vt="http://schemas.openxmlformats.org/officeDocument/2006/docPropsVTypes">
  <Template>Normal</Template>
  <Pages>18</Pages>
  <Words>6907</Words>
  <Characters>7778</Characters>
  <Lines>56</Lines>
  <Paragraphs>15</Paragraphs>
  <TotalTime>19</TotalTime>
  <ScaleCrop>false</ScaleCrop>
  <LinksUpToDate>false</LinksUpToDate>
  <CharactersWithSpaces>7797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2017-07-15T07:16:00Z</dcterms:created>
  <dc:creator>常程</dc:creator>
  <cp:lastModifiedBy>晓爽</cp:lastModifiedBy>
  <cp:lastPrinted>2020-08-11T03:39:00Z</cp:lastPrinted>
  <dcterms:modified xsi:type="dcterms:W3CDTF">2024-09-02T09:09:55Z</dcterms:modified>
  <dc:title>北京市财政局关于做好向市人大常委会报送2015年度市级部门决算（草案）</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2FA20581C9344914924387805D692525_13</vt:lpwstr>
  </property>
</Properties>
</file>