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lang w:eastAsia="zh-CN"/>
        </w:rPr>
        <w:t>北京教育老干部活动中心</w:t>
      </w:r>
      <w:r>
        <w:rPr>
          <w:rFonts w:hint="eastAsia" w:ascii="方正小标宋简体" w:eastAsia="方正小标宋简体"/>
          <w:color w:val="000000"/>
          <w:sz w:val="36"/>
          <w:szCs w:val="36"/>
        </w:rPr>
        <w:t>2022年财政预算信息公开</w:t>
      </w:r>
    </w:p>
    <w:p>
      <w:pPr>
        <w:spacing w:line="24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hint="eastAsia"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hint="eastAsia"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hint="eastAsia"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hint="eastAsia"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pStyle w:val="2"/>
      </w:pPr>
      <w:r>
        <w:br w:type="page"/>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p>
    <w:p>
      <w:pPr>
        <w:spacing w:line="560" w:lineRule="exact"/>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rPr>
        <w:t xml:space="preserve"> 第一部分  2022年</w:t>
      </w:r>
      <w:r>
        <w:rPr>
          <w:rFonts w:hint="eastAsia" w:ascii="方正小标宋简体" w:eastAsia="方正小标宋简体"/>
          <w:color w:val="000000"/>
          <w:sz w:val="36"/>
          <w:szCs w:val="36"/>
          <w:lang w:eastAsia="zh-CN"/>
        </w:rPr>
        <w:t>北京教育老干部活动中心</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预算情况说明</w:t>
      </w:r>
    </w:p>
    <w:p>
      <w:pPr>
        <w:spacing w:line="360" w:lineRule="auto"/>
        <w:rPr>
          <w:rFonts w:hint="eastAsia"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w:t>
      </w:r>
      <w:r>
        <w:rPr>
          <w:rFonts w:hint="eastAsia" w:ascii="楷体_GB2312" w:eastAsia="楷体_GB2312"/>
          <w:color w:val="000000"/>
          <w:sz w:val="32"/>
          <w:szCs w:val="32"/>
          <w:highlight w:val="none"/>
        </w:rPr>
        <w:t>性质</w:t>
      </w:r>
      <w:r>
        <w:rPr>
          <w:rFonts w:hint="eastAsia" w:ascii="楷体_GB2312" w:eastAsia="楷体_GB2312"/>
          <w:color w:val="000000"/>
          <w:sz w:val="32"/>
          <w:szCs w:val="32"/>
        </w:rPr>
        <w:t>、职责等情况</w:t>
      </w:r>
    </w:p>
    <w:p>
      <w:pPr>
        <w:pStyle w:val="2"/>
        <w:keepNext/>
        <w:keepLines/>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b w:val="0"/>
          <w:bCs w:val="0"/>
          <w:color w:val="000000"/>
          <w:kern w:val="2"/>
          <w:sz w:val="32"/>
          <w:szCs w:val="32"/>
          <w:lang w:val="en-US" w:eastAsia="zh-CN" w:bidi="ar-SA"/>
        </w:rPr>
      </w:pPr>
      <w:r>
        <w:rPr>
          <w:rFonts w:hint="eastAsia" w:ascii="仿宋_GB2312" w:hAnsi="Times New Roman" w:eastAsia="仿宋_GB2312" w:cs="Times New Roman"/>
          <w:b w:val="0"/>
          <w:bCs w:val="0"/>
          <w:color w:val="000000"/>
          <w:kern w:val="2"/>
          <w:sz w:val="32"/>
          <w:szCs w:val="32"/>
          <w:lang w:val="en-US" w:eastAsia="zh-CN" w:bidi="ar-SA"/>
        </w:rPr>
        <w:t>北京教育老干部活动中心（以下简称“本单位”）成立于1996年，是公益一类事业单位，承担为教育系统、市委教育工委、市教育机关老干部和老教师服务的任务。2010年北京教育老干部活动中心加挂北京教育老干部大学和北京教育老干部党校两块牌子，调整后，北京教育老干部活动中心增加“承担本市教育系统离退休人员继续教育（非学历）以及对离退休干部党支部书记和党员培训”职责。北京教育老干部活动中心以“加强教育系统离退休老同志思想政治引领和政治作用发挥”为根本任务，以建设“文体活动展示平台、工作骨干培训基地、文化养老示范中心”为职能定位，努力将活动中心建设成为“老有所教、老有所学、老有所乐、老有所为”的“老干部之家”，引领教育系统广大老同志积极发挥正能量作用。</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（二）机构设置情况</w:t>
      </w:r>
    </w:p>
    <w:p>
      <w:pPr>
        <w:pStyle w:val="2"/>
        <w:keepNext/>
        <w:keepLines/>
        <w:pageBreakBefore w:val="0"/>
        <w:widowControl w:val="0"/>
        <w:kinsoku/>
        <w:wordWrap/>
        <w:overflowPunct/>
        <w:topLinePunct w:val="0"/>
        <w:autoSpaceDE/>
        <w:autoSpaceDN/>
        <w:bidi w:val="0"/>
        <w:adjustRightInd/>
        <w:snapToGrid/>
        <w:ind w:firstLine="640" w:firstLineChars="200"/>
        <w:textAlignment w:val="auto"/>
        <w:rPr>
          <w:rFonts w:hint="eastAsia"/>
          <w:highlight w:val="none"/>
        </w:rPr>
      </w:pPr>
      <w:r>
        <w:rPr>
          <w:rFonts w:hint="eastAsia" w:ascii="仿宋_GB2312" w:hAnsi="Times New Roman" w:eastAsia="仿宋_GB2312" w:cs="Times New Roman"/>
          <w:b w:val="0"/>
          <w:bCs w:val="0"/>
          <w:color w:val="000000"/>
          <w:kern w:val="2"/>
          <w:sz w:val="32"/>
          <w:szCs w:val="32"/>
          <w:highlight w:val="none"/>
          <w:lang w:val="en-US" w:eastAsia="zh-CN" w:bidi="ar-SA"/>
        </w:rPr>
        <w:t>本单位下设办公室、两校办公室、综合保障部、文体活动部、党建宣传部。</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（三）人员构成情况</w:t>
      </w:r>
    </w:p>
    <w:p>
      <w:pPr>
        <w:spacing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lang w:eastAsia="zh-CN"/>
        </w:rPr>
        <w:t>北京教育老干部活动中心</w:t>
      </w:r>
      <w:r>
        <w:rPr>
          <w:rFonts w:hint="eastAsia" w:ascii="仿宋_GB2312" w:eastAsia="仿宋_GB2312"/>
          <w:color w:val="000000"/>
          <w:sz w:val="32"/>
          <w:szCs w:val="32"/>
          <w:highlight w:val="none"/>
        </w:rPr>
        <w:t>事业编制</w:t>
      </w:r>
      <w:r>
        <w:rPr>
          <w:rFonts w:hint="eastAsia" w:ascii="仿宋_GB2312" w:eastAsia="仿宋_GB2312"/>
          <w:color w:val="000000"/>
          <w:sz w:val="32"/>
          <w:szCs w:val="32"/>
          <w:highlight w:val="none"/>
          <w:lang w:val="en-US" w:eastAsia="zh-CN"/>
        </w:rPr>
        <w:t>26</w:t>
      </w:r>
      <w:r>
        <w:rPr>
          <w:rFonts w:hint="eastAsia" w:ascii="仿宋_GB2312" w:eastAsia="仿宋_GB2312"/>
          <w:color w:val="000000"/>
          <w:sz w:val="32"/>
          <w:szCs w:val="32"/>
          <w:highlight w:val="none"/>
        </w:rPr>
        <w:t>人，实有人数</w:t>
      </w:r>
      <w:r>
        <w:rPr>
          <w:rFonts w:hint="eastAsia" w:ascii="仿宋_GB2312" w:eastAsia="仿宋_GB2312"/>
          <w:color w:val="000000"/>
          <w:sz w:val="32"/>
          <w:szCs w:val="32"/>
          <w:highlight w:val="none"/>
          <w:lang w:val="en-US" w:eastAsia="zh-CN"/>
        </w:rPr>
        <w:t>19</w:t>
      </w:r>
      <w:r>
        <w:rPr>
          <w:rFonts w:hint="eastAsia" w:ascii="仿宋_GB2312" w:eastAsia="仿宋_GB2312"/>
          <w:color w:val="000000"/>
          <w:sz w:val="32"/>
          <w:szCs w:val="32"/>
          <w:highlight w:val="none"/>
        </w:rPr>
        <w:t>人；退休人员</w:t>
      </w:r>
      <w:r>
        <w:rPr>
          <w:rFonts w:hint="eastAsia" w:ascii="仿宋_GB2312" w:eastAsia="仿宋_GB2312"/>
          <w:color w:val="000000"/>
          <w:sz w:val="32"/>
          <w:szCs w:val="32"/>
          <w:highlight w:val="none"/>
          <w:lang w:val="en-US" w:eastAsia="zh-CN"/>
        </w:rPr>
        <w:t>20人</w:t>
      </w:r>
      <w:r>
        <w:rPr>
          <w:rFonts w:hint="eastAsia" w:ascii="仿宋_GB2312" w:eastAsia="仿宋_GB2312"/>
          <w:color w:val="000000"/>
          <w:sz w:val="32"/>
          <w:szCs w:val="32"/>
          <w:highlight w:val="none"/>
        </w:rPr>
        <w:t>。</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2022年收入预算1309.81万元，比2021年1151.99万元增加157.82万元，增长13.70%。其中：</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本年财政拨款收入1269.01万元,比2021年1058.67万元增加210.34万元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主要原因是根据事业发展规划，调整项目安排；</w:t>
      </w:r>
    </w:p>
    <w:p>
      <w:pPr>
        <w:spacing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color w:val="000000"/>
          <w:sz w:val="32"/>
          <w:szCs w:val="32"/>
        </w:rPr>
        <w:t>本年其他资金收入38.4万元,比2021年43.45万元减少5.05万元</w:t>
      </w:r>
      <w:r>
        <w:rPr>
          <w:rFonts w:hint="eastAsia" w:ascii="仿宋_GB2312" w:eastAsia="仿宋_GB2312"/>
          <w:color w:val="000000"/>
          <w:sz w:val="32"/>
          <w:szCs w:val="32"/>
          <w:lang w:eastAsia="zh-CN"/>
        </w:rPr>
        <w:t>，</w:t>
      </w:r>
      <w:r>
        <w:rPr>
          <w:rFonts w:hint="eastAsia" w:ascii="仿宋_GB2312" w:eastAsia="仿宋_GB2312"/>
          <w:color w:val="000000"/>
          <w:sz w:val="32"/>
          <w:szCs w:val="32"/>
          <w:highlight w:val="none"/>
          <w:lang w:eastAsia="zh-CN"/>
        </w:rPr>
        <w:t>主要原因是受疫情常态化因素影响，老干部大学学费收入减少。</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rPr>
        <w:t>上年结转结余资金2.4万元,比2021年49.87万元减少47.47万元</w:t>
      </w:r>
      <w:r>
        <w:rPr>
          <w:rFonts w:hint="eastAsia" w:ascii="仿宋_GB2312" w:eastAsia="仿宋_GB2312"/>
          <w:color w:val="000000"/>
          <w:sz w:val="32"/>
          <w:szCs w:val="32"/>
          <w:lang w:eastAsia="zh-CN"/>
        </w:rPr>
        <w:t>，</w:t>
      </w:r>
      <w:r>
        <w:rPr>
          <w:rFonts w:hint="eastAsia" w:ascii="仿宋_GB2312" w:eastAsia="仿宋_GB2312"/>
          <w:color w:val="000000"/>
          <w:sz w:val="32"/>
          <w:szCs w:val="32"/>
          <w:highlight w:val="none"/>
          <w:lang w:eastAsia="zh-CN"/>
        </w:rPr>
        <w:t>主要原因是</w:t>
      </w:r>
      <w:r>
        <w:rPr>
          <w:rFonts w:hint="eastAsia" w:ascii="仿宋_GB2312" w:eastAsia="仿宋_GB2312"/>
          <w:color w:val="000000"/>
          <w:sz w:val="32"/>
          <w:szCs w:val="32"/>
          <w:highlight w:val="none"/>
          <w:lang w:val="en-US" w:eastAsia="zh-CN"/>
        </w:rPr>
        <w:t>2020年批复的财政项目结转至2021年使用，形成2021年上年结转结余</w:t>
      </w:r>
      <w:r>
        <w:rPr>
          <w:rFonts w:hint="eastAsia" w:ascii="仿宋_GB2312" w:eastAsia="仿宋_GB2312"/>
          <w:color w:val="000000"/>
          <w:sz w:val="32"/>
          <w:szCs w:val="32"/>
          <w:highlight w:val="none"/>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2022年支出预算1309.81万元，比2021年1151.99万元增加157.82万元，增长13.70%。</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基本支出预算734.54万元，占总支出预算56.08%，比2021年768.81万元减少</w:t>
      </w:r>
      <w:r>
        <w:rPr>
          <w:rFonts w:hint="eastAsia" w:ascii="仿宋_GB2312" w:eastAsia="仿宋_GB2312"/>
          <w:color w:val="000000"/>
          <w:sz w:val="32"/>
          <w:szCs w:val="32"/>
          <w:lang w:val="en-US" w:eastAsia="zh-CN"/>
        </w:rPr>
        <w:t>34.27</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4.46</w:t>
      </w:r>
      <w:r>
        <w:rPr>
          <w:rFonts w:hint="eastAsia" w:ascii="仿宋_GB2312" w:eastAsia="仿宋_GB2312"/>
          <w:color w:val="000000"/>
          <w:sz w:val="32"/>
          <w:szCs w:val="32"/>
        </w:rPr>
        <w:t>%，</w:t>
      </w:r>
      <w:r>
        <w:rPr>
          <w:rFonts w:hint="eastAsia" w:ascii="仿宋_GB2312" w:eastAsia="仿宋_GB2312"/>
          <w:color w:val="000000"/>
          <w:sz w:val="32"/>
          <w:szCs w:val="32"/>
          <w:lang w:eastAsia="zh-CN"/>
        </w:rPr>
        <w:t>主要原因是</w:t>
      </w:r>
      <w:r>
        <w:rPr>
          <w:rFonts w:hint="eastAsia" w:ascii="仿宋_GB2312" w:eastAsia="仿宋_GB2312"/>
          <w:color w:val="000000"/>
          <w:sz w:val="32"/>
          <w:szCs w:val="32"/>
        </w:rPr>
        <w:t>由于</w:t>
      </w:r>
      <w:r>
        <w:rPr>
          <w:rFonts w:hint="eastAsia" w:ascii="仿宋_GB2312" w:eastAsia="仿宋_GB2312"/>
          <w:color w:val="000000"/>
          <w:sz w:val="32"/>
          <w:szCs w:val="32"/>
          <w:lang w:eastAsia="zh-CN"/>
        </w:rPr>
        <w:t>人员变动</w:t>
      </w:r>
      <w:r>
        <w:rPr>
          <w:rFonts w:hint="eastAsia" w:ascii="仿宋_GB2312" w:eastAsia="仿宋_GB2312"/>
          <w:color w:val="000000"/>
          <w:sz w:val="32"/>
          <w:szCs w:val="32"/>
        </w:rPr>
        <w:t>，基本经费支出</w:t>
      </w:r>
      <w:r>
        <w:rPr>
          <w:rFonts w:hint="eastAsia" w:ascii="仿宋_GB2312" w:eastAsia="仿宋_GB2312"/>
          <w:color w:val="000000"/>
          <w:sz w:val="32"/>
          <w:szCs w:val="32"/>
          <w:lang w:eastAsia="zh-CN"/>
        </w:rPr>
        <w:t>减少</w:t>
      </w:r>
      <w:r>
        <w:rPr>
          <w:rFonts w:hint="eastAsia" w:ascii="仿宋_GB2312" w:eastAsia="仿宋_GB2312"/>
          <w:color w:val="000000"/>
          <w:sz w:val="32"/>
          <w:szCs w:val="32"/>
        </w:rPr>
        <w:t>。项目支出预算575.28万元，比2021年383.18万元增加192.1万元，增长50.13%，</w:t>
      </w:r>
      <w:r>
        <w:rPr>
          <w:rFonts w:hint="eastAsia" w:ascii="仿宋_GB2312" w:eastAsia="仿宋_GB2312"/>
          <w:sz w:val="32"/>
          <w:szCs w:val="32"/>
        </w:rPr>
        <w:t>主要原因是根据事业发展规划，调整项目支出</w:t>
      </w:r>
      <w:r>
        <w:rPr>
          <w:rFonts w:hint="eastAsia" w:ascii="仿宋_GB2312" w:eastAsia="仿宋_GB2312"/>
          <w:color w:val="000000"/>
          <w:sz w:val="32"/>
          <w:szCs w:val="32"/>
        </w:rPr>
        <w:t>。其中：</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1.事业单位经营支出38万元。</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2.上缴上级支出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3.对附属单位补助支出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hint="eastAsia"/>
        </w:rPr>
      </w:pPr>
      <w:r>
        <w:rPr>
          <w:rFonts w:hint="eastAsia" w:ascii="仿宋_GB2312" w:eastAsia="仿宋_GB2312"/>
          <w:color w:val="000000"/>
          <w:sz w:val="32"/>
          <w:szCs w:val="32"/>
        </w:rPr>
        <w:t>按照支出内容，北京教育老干部活动中心项目支出主要用于直属单位业务发展。</w:t>
      </w:r>
    </w:p>
    <w:p>
      <w:pPr>
        <w:spacing w:line="560" w:lineRule="exact"/>
        <w:ind w:firstLine="640" w:firstLineChars="200"/>
        <w:rPr>
          <w:rFonts w:hint="eastAsia" w:ascii="仿宋_GB2312" w:eastAsia="仿宋_GB2312"/>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北京教育老干部活动中心</w:t>
      </w:r>
      <w:r>
        <w:rPr>
          <w:rFonts w:hint="eastAsia" w:ascii="仿宋_GB2312" w:eastAsia="仿宋_GB2312"/>
          <w:color w:val="000000"/>
          <w:sz w:val="32"/>
          <w:szCs w:val="32"/>
        </w:rPr>
        <w:t>因公出国（境）费用、公务接待费、公务用车购置和运行维护费开支单位包括</w:t>
      </w:r>
      <w:r>
        <w:rPr>
          <w:rFonts w:hint="eastAsia" w:ascii="仿宋_GB2312" w:eastAsia="仿宋_GB2312"/>
          <w:color w:val="000000"/>
          <w:sz w:val="32"/>
          <w:szCs w:val="32"/>
          <w:highlight w:val="none"/>
          <w:lang w:val="en-US" w:eastAsia="zh-CN"/>
        </w:rPr>
        <w:t>1</w:t>
      </w:r>
      <w:r>
        <w:rPr>
          <w:rFonts w:hint="eastAsia" w:ascii="仿宋_GB2312" w:eastAsia="仿宋_GB2312"/>
          <w:color w:val="000000"/>
          <w:sz w:val="32"/>
          <w:szCs w:val="32"/>
          <w:highlight w:val="none"/>
        </w:rPr>
        <w:t>个所</w:t>
      </w:r>
      <w:r>
        <w:rPr>
          <w:rFonts w:hint="eastAsia" w:ascii="仿宋_GB2312" w:eastAsia="仿宋_GB2312"/>
          <w:color w:val="000000"/>
          <w:sz w:val="32"/>
          <w:szCs w:val="32"/>
        </w:rPr>
        <w:t>属单位。</w:t>
      </w:r>
      <w:bookmarkStart w:id="0" w:name="_GoBack"/>
      <w:bookmarkEnd w:id="0"/>
    </w:p>
    <w:p>
      <w:pPr>
        <w:spacing w:line="560" w:lineRule="exact"/>
        <w:ind w:firstLine="640" w:firstLineChars="200"/>
        <w:rPr>
          <w:rFonts w:hint="eastAsia"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2022年“三公”经费财政拨款预算</w:t>
      </w:r>
      <w:r>
        <w:rPr>
          <w:rFonts w:hint="eastAsia" w:ascii="仿宋_GB2312" w:eastAsia="仿宋_GB2312"/>
          <w:color w:val="000000"/>
          <w:sz w:val="32"/>
          <w:szCs w:val="32"/>
          <w:lang w:val="en-US" w:eastAsia="zh-CN"/>
        </w:rPr>
        <w:t>0.1</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与</w:t>
      </w:r>
      <w:r>
        <w:rPr>
          <w:rFonts w:hint="eastAsia" w:ascii="仿宋_GB2312" w:eastAsia="仿宋_GB2312"/>
          <w:color w:val="000000"/>
          <w:sz w:val="32"/>
          <w:szCs w:val="32"/>
        </w:rPr>
        <w:t>2021年“三公”经费财政拨款预算</w:t>
      </w:r>
      <w:r>
        <w:rPr>
          <w:rFonts w:hint="eastAsia" w:ascii="仿宋_GB2312" w:eastAsia="仿宋_GB2312"/>
          <w:color w:val="000000"/>
          <w:sz w:val="32"/>
          <w:szCs w:val="32"/>
          <w:lang w:eastAsia="zh-CN"/>
        </w:rPr>
        <w:t>持平</w:t>
      </w:r>
      <w:r>
        <w:rPr>
          <w:rFonts w:hint="eastAsia" w:ascii="仿宋_GB2312" w:eastAsia="仿宋_GB2312"/>
          <w:color w:val="000000"/>
          <w:sz w:val="32"/>
          <w:szCs w:val="32"/>
        </w:rPr>
        <w:t>。其中：</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1.因公出国（境）费用。本单位202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年无财政拨款安排的因公出国（境）费用。</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2.公务接待费。2022年预算数</w:t>
      </w:r>
      <w:r>
        <w:rPr>
          <w:rFonts w:hint="eastAsia" w:ascii="仿宋_GB2312" w:eastAsia="仿宋_GB2312"/>
          <w:color w:val="000000"/>
          <w:sz w:val="32"/>
          <w:szCs w:val="32"/>
          <w:lang w:val="en-US" w:eastAsia="zh-CN"/>
        </w:rPr>
        <w:t>0.1</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与</w:t>
      </w:r>
      <w:r>
        <w:rPr>
          <w:rFonts w:hint="eastAsia" w:ascii="仿宋_GB2312" w:eastAsia="仿宋_GB2312"/>
          <w:color w:val="000000"/>
          <w:sz w:val="32"/>
          <w:szCs w:val="32"/>
        </w:rPr>
        <w:t>2021年预算数</w:t>
      </w:r>
      <w:r>
        <w:rPr>
          <w:rFonts w:hint="eastAsia" w:ascii="仿宋_GB2312" w:eastAsia="仿宋_GB2312"/>
          <w:color w:val="000000"/>
          <w:sz w:val="32"/>
          <w:szCs w:val="32"/>
          <w:lang w:val="en-US" w:eastAsia="zh-CN"/>
        </w:rPr>
        <w:t>0.1</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持平</w:t>
      </w:r>
      <w:r>
        <w:rPr>
          <w:rFonts w:hint="eastAsia" w:ascii="仿宋_GB2312" w:eastAsia="仿宋_GB2312"/>
          <w:color w:val="000000"/>
          <w:sz w:val="32"/>
          <w:szCs w:val="32"/>
        </w:rPr>
        <w:t>。2022年公务接待费主要用于接待有公函的公务接待支出。</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rPr>
        <w:t>3.公务用车购置和运行维护费。本单位202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年无财政拨款安排的公务用车购置和运行维护费</w:t>
      </w:r>
      <w:r>
        <w:rPr>
          <w:rFonts w:hint="eastAsia" w:ascii="仿宋_GB2312" w:eastAsia="仿宋_GB2312"/>
          <w:color w:val="000000"/>
          <w:sz w:val="32"/>
          <w:szCs w:val="32"/>
          <w:lang w:eastAsia="zh-CN"/>
        </w:rPr>
        <w:t>。</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color w:val="000000"/>
          <w:sz w:val="32"/>
          <w:szCs w:val="32"/>
          <w:lang w:eastAsia="zh-CN"/>
        </w:rPr>
        <w:t>北京教育老干部活动中心</w:t>
      </w:r>
      <w:r>
        <w:rPr>
          <w:rFonts w:hint="eastAsia" w:ascii="仿宋_GB2312" w:eastAsia="仿宋_GB2312"/>
          <w:color w:val="000000"/>
          <w:sz w:val="32"/>
          <w:szCs w:val="32"/>
        </w:rPr>
        <w:t>政府采购预算总额396.04万元，其中：政府采购货物预算40.49万元，政府采购工程预算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万元，政府采购服务预算355.55万元。</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本单位202</w:t>
      </w:r>
      <w:r>
        <w:rPr>
          <w:rFonts w:hint="eastAsia" w:ascii="仿宋_GB2312" w:eastAsia="仿宋_GB2312"/>
          <w:color w:val="000000"/>
          <w:sz w:val="32"/>
          <w:szCs w:val="32"/>
          <w:highlight w:val="none"/>
          <w:lang w:val="en-US" w:eastAsia="zh-CN"/>
        </w:rPr>
        <w:t>2</w:t>
      </w:r>
      <w:r>
        <w:rPr>
          <w:rFonts w:hint="eastAsia" w:ascii="仿宋_GB2312" w:eastAsia="仿宋_GB2312"/>
          <w:color w:val="000000"/>
          <w:sz w:val="32"/>
          <w:szCs w:val="32"/>
          <w:highlight w:val="none"/>
        </w:rPr>
        <w:t>年无政府购买服务预算。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color w:val="000000"/>
          <w:sz w:val="32"/>
          <w:szCs w:val="32"/>
          <w:lang w:eastAsia="zh-CN"/>
        </w:rPr>
        <w:t>北京教育老干部活动中心</w:t>
      </w:r>
      <w:r>
        <w:rPr>
          <w:rFonts w:hint="eastAsia" w:ascii="仿宋_GB2312" w:eastAsia="仿宋_GB2312"/>
          <w:color w:val="000000"/>
          <w:sz w:val="32"/>
          <w:szCs w:val="32"/>
        </w:rPr>
        <w:t>填报绩效目标的预算项目</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个，占本单位全部预算项目</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个的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%。填报绩效目标的项目支出预算575.28万元，占本单位年初全部项目支出预算的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本单位2022年无重点行政事业性收费</w:t>
      </w:r>
      <w:r>
        <w:rPr>
          <w:rFonts w:hint="eastAsia" w:ascii="仿宋_GB2312" w:eastAsia="仿宋_GB2312"/>
          <w:color w:val="000000"/>
          <w:sz w:val="32"/>
          <w:szCs w:val="32"/>
          <w:lang w:eastAsia="zh-CN"/>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rPr>
        <w:t>截至2021年底，</w:t>
      </w:r>
      <w:r>
        <w:rPr>
          <w:rFonts w:hint="eastAsia" w:ascii="仿宋_GB2312" w:eastAsia="仿宋_GB2312"/>
          <w:color w:val="000000"/>
          <w:sz w:val="32"/>
          <w:szCs w:val="32"/>
          <w:lang w:eastAsia="zh-CN"/>
        </w:rPr>
        <w:t>北京教育老干部活动</w:t>
      </w:r>
      <w:r>
        <w:rPr>
          <w:rFonts w:hint="eastAsia" w:ascii="仿宋_GB2312" w:eastAsia="仿宋_GB2312"/>
          <w:color w:val="000000"/>
          <w:sz w:val="32"/>
          <w:szCs w:val="32"/>
          <w:highlight w:val="none"/>
          <w:lang w:eastAsia="zh-CN"/>
        </w:rPr>
        <w:t>中心</w:t>
      </w:r>
      <w:r>
        <w:rPr>
          <w:rFonts w:hint="eastAsia" w:ascii="仿宋_GB2312" w:eastAsia="仿宋_GB2312"/>
          <w:color w:val="000000"/>
          <w:sz w:val="32"/>
          <w:szCs w:val="32"/>
          <w:highlight w:val="none"/>
        </w:rPr>
        <w:t>共有车辆</w:t>
      </w:r>
      <w:r>
        <w:rPr>
          <w:rFonts w:hint="eastAsia" w:ascii="仿宋_GB2312" w:eastAsia="仿宋_GB2312"/>
          <w:color w:val="000000"/>
          <w:sz w:val="32"/>
          <w:szCs w:val="32"/>
          <w:highlight w:val="none"/>
          <w:lang w:val="en-US" w:eastAsia="zh-CN"/>
        </w:rPr>
        <w:t>1</w:t>
      </w:r>
      <w:r>
        <w:rPr>
          <w:rFonts w:hint="eastAsia" w:ascii="仿宋_GB2312" w:eastAsia="仿宋_GB2312"/>
          <w:color w:val="000000"/>
          <w:sz w:val="32"/>
          <w:szCs w:val="32"/>
          <w:highlight w:val="none"/>
        </w:rPr>
        <w:t>台，共计</w:t>
      </w:r>
      <w:r>
        <w:rPr>
          <w:rFonts w:hint="eastAsia" w:ascii="仿宋_GB2312" w:eastAsia="仿宋_GB2312"/>
          <w:color w:val="000000"/>
          <w:sz w:val="32"/>
          <w:szCs w:val="32"/>
          <w:highlight w:val="none"/>
          <w:lang w:val="en-US" w:eastAsia="zh-CN"/>
        </w:rPr>
        <w:t>18.27</w:t>
      </w:r>
      <w:r>
        <w:rPr>
          <w:rFonts w:hint="eastAsia" w:ascii="仿宋_GB2312" w:eastAsia="仿宋_GB2312"/>
          <w:color w:val="000000"/>
          <w:sz w:val="32"/>
          <w:szCs w:val="32"/>
          <w:highlight w:val="none"/>
        </w:rPr>
        <w:t>万元；单位价值50万元以上的通用设备</w:t>
      </w:r>
      <w:r>
        <w:rPr>
          <w:rFonts w:hint="eastAsia" w:ascii="仿宋_GB2312" w:eastAsia="仿宋_GB2312"/>
          <w:color w:val="000000"/>
          <w:sz w:val="32"/>
          <w:szCs w:val="32"/>
          <w:highlight w:val="none"/>
          <w:lang w:val="en-US" w:eastAsia="zh-CN"/>
        </w:rPr>
        <w:t>1</w:t>
      </w:r>
      <w:r>
        <w:rPr>
          <w:rFonts w:hint="eastAsia" w:ascii="仿宋_GB2312" w:eastAsia="仿宋_GB2312"/>
          <w:color w:val="000000"/>
          <w:sz w:val="32"/>
          <w:szCs w:val="32"/>
          <w:highlight w:val="none"/>
        </w:rPr>
        <w:t>台（套），共计50.75万元，单位价值100万元以上的专用设备</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台（套）、共计</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w:t>
      </w:r>
    </w:p>
    <w:p>
      <w:pPr>
        <w:spacing w:line="560" w:lineRule="exact"/>
        <w:ind w:firstLine="640" w:firstLineChars="200"/>
        <w:rPr>
          <w:rFonts w:hint="eastAsia"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rPr>
      </w:pP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color w:val="000000"/>
          <w:sz w:val="32"/>
          <w:szCs w:val="32"/>
          <w:lang w:eastAsia="zh-CN"/>
        </w:rPr>
        <w:t>北京教育老干部活动中心</w:t>
      </w:r>
      <w:r>
        <w:rPr>
          <w:rFonts w:hint="eastAsia" w:ascii="仿宋_GB2312" w:eastAsia="仿宋_GB2312"/>
          <w:color w:val="000000"/>
          <w:sz w:val="32"/>
          <w:szCs w:val="32"/>
        </w:rPr>
        <w:t>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0000600000000000000"/>
    <w:charset w:val="86"/>
    <w:family w:val="script"/>
    <w:pitch w:val="default"/>
    <w:sig w:usb0="00000000" w:usb1="00000000" w:usb2="00000012" w:usb3="00000000" w:csb0="00160001" w:csb1="1203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4760BF"/>
    <w:rsid w:val="00593E2B"/>
    <w:rsid w:val="00652B55"/>
    <w:rsid w:val="006E3BDA"/>
    <w:rsid w:val="009F5FCC"/>
    <w:rsid w:val="00C5589A"/>
    <w:rsid w:val="00D072E8"/>
    <w:rsid w:val="01DF19B1"/>
    <w:rsid w:val="01F63F57"/>
    <w:rsid w:val="02780A03"/>
    <w:rsid w:val="05586A0B"/>
    <w:rsid w:val="05E22DD0"/>
    <w:rsid w:val="06152DDF"/>
    <w:rsid w:val="0682723B"/>
    <w:rsid w:val="075810A2"/>
    <w:rsid w:val="07912E88"/>
    <w:rsid w:val="081D5883"/>
    <w:rsid w:val="094E0689"/>
    <w:rsid w:val="099C64DB"/>
    <w:rsid w:val="0A00680B"/>
    <w:rsid w:val="0BD84D3B"/>
    <w:rsid w:val="0BEC3251"/>
    <w:rsid w:val="0D316280"/>
    <w:rsid w:val="0F6F44AE"/>
    <w:rsid w:val="109F5FDC"/>
    <w:rsid w:val="12943C38"/>
    <w:rsid w:val="148F600E"/>
    <w:rsid w:val="16AD250D"/>
    <w:rsid w:val="16E24A14"/>
    <w:rsid w:val="178501DC"/>
    <w:rsid w:val="18617741"/>
    <w:rsid w:val="1A4B05F4"/>
    <w:rsid w:val="1A561840"/>
    <w:rsid w:val="1B255F39"/>
    <w:rsid w:val="1DEF4A96"/>
    <w:rsid w:val="1E617C7F"/>
    <w:rsid w:val="250A5C45"/>
    <w:rsid w:val="254E3054"/>
    <w:rsid w:val="25C70B22"/>
    <w:rsid w:val="25F35EDB"/>
    <w:rsid w:val="265D2466"/>
    <w:rsid w:val="26870FD7"/>
    <w:rsid w:val="26CE2947"/>
    <w:rsid w:val="284417B8"/>
    <w:rsid w:val="29AE31DA"/>
    <w:rsid w:val="29B521F6"/>
    <w:rsid w:val="2A315C02"/>
    <w:rsid w:val="31AC239C"/>
    <w:rsid w:val="33B31F31"/>
    <w:rsid w:val="353F1D8B"/>
    <w:rsid w:val="35D65EBC"/>
    <w:rsid w:val="37860DFD"/>
    <w:rsid w:val="37B83E37"/>
    <w:rsid w:val="39392B4B"/>
    <w:rsid w:val="3A157E0D"/>
    <w:rsid w:val="3E984302"/>
    <w:rsid w:val="3EF0545B"/>
    <w:rsid w:val="3F851D17"/>
    <w:rsid w:val="41EF26B5"/>
    <w:rsid w:val="42316355"/>
    <w:rsid w:val="42635133"/>
    <w:rsid w:val="43A866EE"/>
    <w:rsid w:val="43EA127F"/>
    <w:rsid w:val="442D3C47"/>
    <w:rsid w:val="47C53D51"/>
    <w:rsid w:val="481A042C"/>
    <w:rsid w:val="48FB6659"/>
    <w:rsid w:val="49AA5BCE"/>
    <w:rsid w:val="4B5600AC"/>
    <w:rsid w:val="4B7F08B4"/>
    <w:rsid w:val="4C536A25"/>
    <w:rsid w:val="4C7D1798"/>
    <w:rsid w:val="4CF356EE"/>
    <w:rsid w:val="4EE83DDE"/>
    <w:rsid w:val="4EEB68D3"/>
    <w:rsid w:val="4F654EE4"/>
    <w:rsid w:val="505A5801"/>
    <w:rsid w:val="50B242ED"/>
    <w:rsid w:val="51637D85"/>
    <w:rsid w:val="51B51FC6"/>
    <w:rsid w:val="522406C1"/>
    <w:rsid w:val="552A68DF"/>
    <w:rsid w:val="55682732"/>
    <w:rsid w:val="56297FD8"/>
    <w:rsid w:val="56D72EFD"/>
    <w:rsid w:val="56F831B8"/>
    <w:rsid w:val="580219AF"/>
    <w:rsid w:val="58445DCE"/>
    <w:rsid w:val="58A1317A"/>
    <w:rsid w:val="5AD36444"/>
    <w:rsid w:val="5B852B27"/>
    <w:rsid w:val="5C524042"/>
    <w:rsid w:val="5D731395"/>
    <w:rsid w:val="5DCA10D1"/>
    <w:rsid w:val="5E423949"/>
    <w:rsid w:val="5F492B76"/>
    <w:rsid w:val="5FB972D2"/>
    <w:rsid w:val="6031697A"/>
    <w:rsid w:val="60A96808"/>
    <w:rsid w:val="61166D83"/>
    <w:rsid w:val="62194CF7"/>
    <w:rsid w:val="62747C18"/>
    <w:rsid w:val="64497581"/>
    <w:rsid w:val="644A69E7"/>
    <w:rsid w:val="64C60DEB"/>
    <w:rsid w:val="66A01CC2"/>
    <w:rsid w:val="6C262246"/>
    <w:rsid w:val="6E434E86"/>
    <w:rsid w:val="713734A3"/>
    <w:rsid w:val="72E65BCA"/>
    <w:rsid w:val="73507FE9"/>
    <w:rsid w:val="73813EAF"/>
    <w:rsid w:val="73AA2D86"/>
    <w:rsid w:val="74C57D29"/>
    <w:rsid w:val="74EC0F45"/>
    <w:rsid w:val="76DE7D95"/>
    <w:rsid w:val="76E902A1"/>
    <w:rsid w:val="7771364D"/>
    <w:rsid w:val="77974667"/>
    <w:rsid w:val="7941511D"/>
    <w:rsid w:val="7A221CFB"/>
    <w:rsid w:val="7A381DB2"/>
    <w:rsid w:val="7B5A03BA"/>
    <w:rsid w:val="7CB45719"/>
    <w:rsid w:val="7D4A2035"/>
    <w:rsid w:val="7E0A102F"/>
    <w:rsid w:val="7EDF2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476</Words>
  <Characters>2717</Characters>
  <Lines>22</Lines>
  <Paragraphs>6</Paragraphs>
  <TotalTime>8</TotalTime>
  <ScaleCrop>false</ScaleCrop>
  <LinksUpToDate>false</LinksUpToDate>
  <CharactersWithSpaces>3187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Administrator</cp:lastModifiedBy>
  <dcterms:modified xsi:type="dcterms:W3CDTF">2022-02-23T08:10:03Z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9F6F5D90C2B44ABB93AB1B102A681618</vt:lpwstr>
  </property>
</Properties>
</file>