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51DFA" w14:textId="77777777" w:rsidR="00835421" w:rsidRDefault="0006292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北京教育督导评估院</w:t>
      </w:r>
      <w:r w:rsidR="009C3B9A">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14:paraId="458BDDB5" w14:textId="77777777" w:rsidR="00835421" w:rsidRDefault="009C3B9A">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21C53316" w14:textId="77777777" w:rsidR="00835421" w:rsidRDefault="009C3B9A">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5458DAA" w14:textId="77777777" w:rsidR="00835421" w:rsidRDefault="009C3B9A">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78586ED9" w14:textId="77777777" w:rsidR="00835421" w:rsidRDefault="009C3B9A">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73A16E98"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131CAF7D"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4E850209"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5FABF2E0"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629172E2"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00F13D72"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41CEDCC3" w14:textId="77777777" w:rsidR="00835421" w:rsidRDefault="009C3B9A">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37F7EDF9"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3D713330"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3AC58816" w14:textId="77777777" w:rsidR="00835421" w:rsidRDefault="009C3B9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4702910E" w14:textId="77777777" w:rsidR="00835421" w:rsidRDefault="009C3B9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4883907D" w14:textId="77777777" w:rsidR="00835421" w:rsidRDefault="009C3B9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7A4AF368"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2868E17B"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5A9EF988" w14:textId="77777777" w:rsidR="00835421" w:rsidRDefault="009C3B9A">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1FD7CC0C"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34BBA294" w14:textId="77777777" w:rsidR="00835421" w:rsidRDefault="009C3B9A">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1D58E6C7" w14:textId="77777777" w:rsidR="00835421" w:rsidRDefault="009C3B9A">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769A200E" w14:textId="77777777" w:rsidR="00835421" w:rsidRDefault="009C3B9A">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11CCA908" w14:textId="77777777" w:rsidR="00835421" w:rsidRPr="0006292A" w:rsidRDefault="009C3B9A" w:rsidP="000629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737D59C4" w14:textId="77777777" w:rsidR="00835421" w:rsidRDefault="00835421">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2AE9A772" w14:textId="77777777" w:rsidR="00835421" w:rsidRDefault="009C3B9A">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 xml:space="preserve"> 第一部分  2022年单位预算情况说明</w:t>
      </w:r>
    </w:p>
    <w:p w14:paraId="60C981FA" w14:textId="77777777" w:rsidR="00835421" w:rsidRDefault="00835421">
      <w:pPr>
        <w:spacing w:line="360" w:lineRule="auto"/>
        <w:rPr>
          <w:rFonts w:ascii="仿宋_GB2312" w:eastAsia="仿宋_GB2312"/>
          <w:color w:val="000000"/>
          <w:sz w:val="32"/>
          <w:szCs w:val="32"/>
        </w:rPr>
      </w:pPr>
    </w:p>
    <w:p w14:paraId="2D8C2B30" w14:textId="77777777" w:rsidR="00835421" w:rsidRDefault="009C3B9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7561A255" w14:textId="77777777" w:rsidR="0006292A" w:rsidRDefault="009C3B9A" w:rsidP="000629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3D9D852C" w14:textId="77777777" w:rsidR="0006292A" w:rsidRPr="0006292A" w:rsidRDefault="00667A59" w:rsidP="000629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北京教育督导评估院</w:t>
      </w:r>
      <w:r w:rsidR="007A61E6">
        <w:rPr>
          <w:rFonts w:ascii="仿宋_GB2312" w:eastAsia="仿宋_GB2312" w:hint="eastAsia"/>
          <w:color w:val="000000"/>
          <w:sz w:val="32"/>
          <w:szCs w:val="32"/>
        </w:rPr>
        <w:t>是</w:t>
      </w:r>
      <w:r>
        <w:rPr>
          <w:rFonts w:ascii="仿宋_GB2312" w:eastAsia="仿宋_GB2312" w:hint="eastAsia"/>
          <w:color w:val="000000"/>
          <w:sz w:val="32"/>
          <w:szCs w:val="32"/>
        </w:rPr>
        <w:t>新成立的</w:t>
      </w:r>
      <w:r w:rsidR="00061819">
        <w:rPr>
          <w:rFonts w:ascii="仿宋_GB2312" w:eastAsia="仿宋_GB2312" w:hint="eastAsia"/>
          <w:color w:val="000000"/>
          <w:sz w:val="32"/>
          <w:szCs w:val="32"/>
        </w:rPr>
        <w:t>预算单位，是</w:t>
      </w:r>
      <w:r w:rsidR="0006292A" w:rsidRPr="0006292A">
        <w:rPr>
          <w:rFonts w:ascii="仿宋_GB2312" w:eastAsia="仿宋_GB2312" w:hint="eastAsia"/>
          <w:color w:val="000000"/>
          <w:sz w:val="32"/>
          <w:szCs w:val="32"/>
        </w:rPr>
        <w:t>北京市委教育工委市教委所属公益一类事业单位，机构规格为正处级，经费形式为财政补助。</w:t>
      </w:r>
      <w:r w:rsidR="0006292A">
        <w:rPr>
          <w:rFonts w:ascii="仿宋_GB2312" w:eastAsia="仿宋_GB2312" w:hint="eastAsia"/>
          <w:color w:val="000000"/>
          <w:sz w:val="32"/>
          <w:szCs w:val="32"/>
        </w:rPr>
        <w:t>北京教育督导评估院</w:t>
      </w:r>
      <w:r w:rsidR="0006292A" w:rsidRPr="0006292A">
        <w:rPr>
          <w:rFonts w:ascii="仿宋_GB2312" w:eastAsia="仿宋_GB2312" w:hint="eastAsia"/>
          <w:color w:val="000000"/>
          <w:sz w:val="32"/>
          <w:szCs w:val="32"/>
        </w:rPr>
        <w:t>承担教育督导、教育评估与质量监测研究；为教育行政与政府教育督导等部门提供理论和信息等决策咨询服务；承担教育督导、教育评估和质量监测的组织实施及成功经验的总结推广；承担对本市</w:t>
      </w:r>
      <w:r w:rsidR="0006292A" w:rsidRPr="0006292A">
        <w:rPr>
          <w:rFonts w:ascii="仿宋_GB2312" w:eastAsia="仿宋_GB2312"/>
          <w:color w:val="000000"/>
          <w:sz w:val="32"/>
          <w:szCs w:val="32"/>
        </w:rPr>
        <w:t>教育工作中重大问题</w:t>
      </w:r>
      <w:r w:rsidR="0006292A" w:rsidRPr="0006292A">
        <w:rPr>
          <w:rFonts w:ascii="仿宋_GB2312" w:eastAsia="仿宋_GB2312" w:hint="eastAsia"/>
          <w:color w:val="000000"/>
          <w:sz w:val="32"/>
          <w:szCs w:val="32"/>
        </w:rPr>
        <w:t>的</w:t>
      </w:r>
      <w:r w:rsidR="0006292A" w:rsidRPr="0006292A">
        <w:rPr>
          <w:rFonts w:ascii="仿宋_GB2312" w:eastAsia="仿宋_GB2312"/>
          <w:color w:val="000000"/>
          <w:sz w:val="32"/>
          <w:szCs w:val="32"/>
        </w:rPr>
        <w:t>调查研究，对本市教育政策的</w:t>
      </w:r>
      <w:r w:rsidR="0006292A" w:rsidRPr="0006292A">
        <w:rPr>
          <w:rFonts w:ascii="仿宋_GB2312" w:eastAsia="仿宋_GB2312" w:hint="eastAsia"/>
          <w:color w:val="000000"/>
          <w:sz w:val="32"/>
          <w:szCs w:val="32"/>
        </w:rPr>
        <w:t>实施</w:t>
      </w:r>
      <w:r w:rsidR="0006292A" w:rsidRPr="0006292A">
        <w:rPr>
          <w:rFonts w:ascii="仿宋_GB2312" w:eastAsia="仿宋_GB2312"/>
          <w:color w:val="000000"/>
          <w:sz w:val="32"/>
          <w:szCs w:val="32"/>
        </w:rPr>
        <w:t>效果进行评价</w:t>
      </w:r>
      <w:r w:rsidR="0006292A" w:rsidRPr="0006292A">
        <w:rPr>
          <w:rFonts w:ascii="仿宋_GB2312" w:eastAsia="仿宋_GB2312" w:hint="eastAsia"/>
          <w:color w:val="000000"/>
          <w:sz w:val="32"/>
          <w:szCs w:val="32"/>
        </w:rPr>
        <w:t>；负责管理和维护北京市教育督导评估数据库并进行数据挖掘分析；负责督学队伍的日常管理和培训；组织开展相关的学术交流活动，为各级各类教育机构提供业务指导和专业服务等。</w:t>
      </w:r>
    </w:p>
    <w:p w14:paraId="5F0AD135" w14:textId="1131225F" w:rsidR="0006292A" w:rsidRDefault="009C3B9A" w:rsidP="000629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D08D17E" w14:textId="77777777" w:rsidR="0006292A" w:rsidRPr="0077562A" w:rsidRDefault="0006292A" w:rsidP="00847D67">
      <w:pPr>
        <w:pStyle w:val="a9"/>
        <w:snapToGrid w:val="0"/>
        <w:spacing w:before="0" w:beforeAutospacing="0" w:after="0" w:afterAutospacing="0" w:line="560" w:lineRule="exact"/>
        <w:ind w:firstLineChars="200" w:firstLine="640"/>
        <w:rPr>
          <w:rFonts w:ascii="仿宋_GB2312" w:eastAsia="仿宋_GB2312" w:hAnsi="Times New Roman" w:cs="Times New Roman"/>
          <w:color w:val="000000"/>
          <w:kern w:val="2"/>
          <w:sz w:val="32"/>
          <w:szCs w:val="32"/>
        </w:rPr>
      </w:pPr>
      <w:r>
        <w:rPr>
          <w:rFonts w:ascii="仿宋_GB2312" w:eastAsia="仿宋_GB2312" w:hAnsi="Times New Roman" w:cs="Times New Roman" w:hint="eastAsia"/>
          <w:color w:val="000000"/>
          <w:kern w:val="2"/>
          <w:sz w:val="32"/>
          <w:szCs w:val="32"/>
        </w:rPr>
        <w:t>北京教育督导评估院</w:t>
      </w:r>
      <w:r w:rsidR="0077562A">
        <w:rPr>
          <w:rFonts w:ascii="仿宋_GB2312" w:eastAsia="仿宋_GB2312" w:hAnsi="Times New Roman" w:cs="Times New Roman" w:hint="eastAsia"/>
          <w:color w:val="000000"/>
          <w:kern w:val="2"/>
          <w:sz w:val="32"/>
          <w:szCs w:val="32"/>
        </w:rPr>
        <w:t>共设立内设机构7个，分别为：</w:t>
      </w:r>
      <w:r w:rsidRPr="0006292A">
        <w:rPr>
          <w:rFonts w:ascii="仿宋_GB2312" w:eastAsia="仿宋_GB2312" w:hAnsi="Times New Roman" w:cs="Times New Roman" w:hint="eastAsia"/>
          <w:color w:val="000000"/>
          <w:kern w:val="2"/>
          <w:sz w:val="32"/>
          <w:szCs w:val="32"/>
        </w:rPr>
        <w:t>综合办公室</w:t>
      </w:r>
      <w:r w:rsidR="0077562A">
        <w:rPr>
          <w:rFonts w:ascii="仿宋_GB2312" w:eastAsia="仿宋_GB2312" w:hAnsi="Times New Roman" w:cs="Times New Roman" w:hint="eastAsia"/>
          <w:color w:val="000000"/>
          <w:kern w:val="2"/>
          <w:sz w:val="32"/>
          <w:szCs w:val="32"/>
        </w:rPr>
        <w:t>、</w:t>
      </w:r>
      <w:r w:rsidRPr="0006292A">
        <w:rPr>
          <w:rFonts w:ascii="仿宋_GB2312" w:eastAsia="仿宋_GB2312" w:hAnsi="Times New Roman" w:cs="Times New Roman" w:hint="eastAsia"/>
          <w:color w:val="000000"/>
          <w:kern w:val="2"/>
          <w:sz w:val="32"/>
          <w:szCs w:val="32"/>
        </w:rPr>
        <w:t>高等教育督导评估所</w:t>
      </w:r>
      <w:r w:rsidR="0077562A">
        <w:rPr>
          <w:rFonts w:ascii="仿宋_GB2312" w:eastAsia="仿宋_GB2312" w:hAnsi="Times New Roman" w:cs="Times New Roman" w:hint="eastAsia"/>
          <w:color w:val="000000"/>
          <w:kern w:val="2"/>
          <w:sz w:val="32"/>
          <w:szCs w:val="32"/>
        </w:rPr>
        <w:t>、</w:t>
      </w:r>
      <w:r w:rsidRPr="0006292A">
        <w:rPr>
          <w:rFonts w:ascii="仿宋_GB2312" w:eastAsia="仿宋_GB2312" w:hAnsi="Times New Roman" w:cs="Times New Roman" w:hint="eastAsia"/>
          <w:color w:val="000000"/>
          <w:kern w:val="2"/>
          <w:sz w:val="32"/>
          <w:szCs w:val="32"/>
        </w:rPr>
        <w:t>职成教育与专项教育督导评估所</w:t>
      </w:r>
      <w:r w:rsidR="0077562A">
        <w:rPr>
          <w:rFonts w:ascii="仿宋_GB2312" w:eastAsia="仿宋_GB2312" w:hAnsi="Times New Roman" w:cs="Times New Roman" w:hint="eastAsia"/>
          <w:color w:val="000000"/>
          <w:kern w:val="2"/>
          <w:sz w:val="32"/>
          <w:szCs w:val="32"/>
        </w:rPr>
        <w:t>、</w:t>
      </w:r>
      <w:r w:rsidRPr="0006292A">
        <w:rPr>
          <w:rFonts w:ascii="仿宋_GB2312" w:eastAsia="仿宋_GB2312" w:hAnsi="Times New Roman" w:cs="Times New Roman" w:hint="eastAsia"/>
          <w:color w:val="000000"/>
          <w:kern w:val="2"/>
          <w:sz w:val="32"/>
          <w:szCs w:val="32"/>
        </w:rPr>
        <w:t>学前教育督导评估所</w:t>
      </w:r>
      <w:r w:rsidR="0077562A">
        <w:rPr>
          <w:rFonts w:ascii="仿宋_GB2312" w:eastAsia="仿宋_GB2312" w:hAnsi="Times New Roman" w:cs="Times New Roman" w:hint="eastAsia"/>
          <w:color w:val="000000"/>
          <w:kern w:val="2"/>
          <w:sz w:val="32"/>
          <w:szCs w:val="32"/>
        </w:rPr>
        <w:t>、</w:t>
      </w:r>
      <w:r w:rsidRPr="0006292A">
        <w:rPr>
          <w:rFonts w:ascii="仿宋_GB2312" w:eastAsia="仿宋_GB2312" w:hAnsi="Times New Roman" w:cs="Times New Roman" w:hint="eastAsia"/>
          <w:color w:val="000000"/>
          <w:kern w:val="2"/>
          <w:sz w:val="32"/>
          <w:szCs w:val="32"/>
        </w:rPr>
        <w:t>基础教育督导评价所</w:t>
      </w:r>
      <w:r w:rsidR="0077562A">
        <w:rPr>
          <w:rFonts w:ascii="仿宋_GB2312" w:eastAsia="仿宋_GB2312" w:hAnsi="Times New Roman" w:cs="Times New Roman" w:hint="eastAsia"/>
          <w:color w:val="000000"/>
          <w:kern w:val="2"/>
          <w:sz w:val="32"/>
          <w:szCs w:val="32"/>
        </w:rPr>
        <w:t>、</w:t>
      </w:r>
      <w:r w:rsidRPr="0006292A">
        <w:rPr>
          <w:rFonts w:ascii="仿宋_GB2312" w:eastAsia="仿宋_GB2312" w:hAnsi="Times New Roman" w:cs="Times New Roman" w:hint="eastAsia"/>
          <w:color w:val="000000"/>
          <w:kern w:val="2"/>
          <w:sz w:val="32"/>
          <w:szCs w:val="32"/>
        </w:rPr>
        <w:t>督学发展研究培训中心</w:t>
      </w:r>
      <w:r w:rsidR="0077562A">
        <w:rPr>
          <w:rFonts w:ascii="仿宋_GB2312" w:eastAsia="仿宋_GB2312" w:hAnsi="Times New Roman" w:cs="Times New Roman" w:hint="eastAsia"/>
          <w:color w:val="000000"/>
          <w:kern w:val="2"/>
          <w:sz w:val="32"/>
          <w:szCs w:val="32"/>
        </w:rPr>
        <w:t>及</w:t>
      </w:r>
      <w:r w:rsidRPr="00847D67">
        <w:rPr>
          <w:rFonts w:ascii="仿宋_GB2312" w:eastAsia="仿宋_GB2312" w:hAnsi="Times New Roman" w:cs="Times New Roman" w:hint="eastAsia"/>
          <w:color w:val="000000"/>
          <w:kern w:val="2"/>
          <w:sz w:val="32"/>
          <w:szCs w:val="32"/>
        </w:rPr>
        <w:t>区域教育督导评价与政策研究中心</w:t>
      </w:r>
      <w:r w:rsidR="0077562A" w:rsidRPr="00847D67">
        <w:rPr>
          <w:rFonts w:ascii="仿宋_GB2312" w:eastAsia="仿宋_GB2312" w:hAnsi="Times New Roman" w:cs="Times New Roman" w:hint="eastAsia"/>
          <w:color w:val="000000"/>
          <w:kern w:val="2"/>
          <w:sz w:val="32"/>
          <w:szCs w:val="32"/>
        </w:rPr>
        <w:t>。</w:t>
      </w:r>
    </w:p>
    <w:p w14:paraId="1659B68D"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0ABD08A8" w14:textId="77777777" w:rsidR="00835421" w:rsidRDefault="0077562A" w:rsidP="007756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北京教育督导评估院</w:t>
      </w:r>
      <w:r w:rsidR="009C3B9A">
        <w:rPr>
          <w:rFonts w:ascii="仿宋_GB2312" w:eastAsia="仿宋_GB2312" w:hint="eastAsia"/>
          <w:color w:val="000000"/>
          <w:sz w:val="32"/>
          <w:szCs w:val="32"/>
        </w:rPr>
        <w:t>事业编制</w:t>
      </w:r>
      <w:r>
        <w:rPr>
          <w:rFonts w:ascii="仿宋_GB2312" w:eastAsia="仿宋_GB2312" w:hint="eastAsia"/>
          <w:color w:val="000000"/>
          <w:sz w:val="32"/>
          <w:szCs w:val="32"/>
        </w:rPr>
        <w:t>51</w:t>
      </w:r>
      <w:r w:rsidR="009C3B9A">
        <w:rPr>
          <w:rFonts w:ascii="仿宋_GB2312" w:eastAsia="仿宋_GB2312" w:hint="eastAsia"/>
          <w:color w:val="000000"/>
          <w:sz w:val="32"/>
          <w:szCs w:val="32"/>
        </w:rPr>
        <w:t>人</w:t>
      </w:r>
      <w:r>
        <w:rPr>
          <w:rFonts w:ascii="仿宋_GB2312" w:eastAsia="仿宋_GB2312" w:hint="eastAsia"/>
          <w:color w:val="000000"/>
          <w:sz w:val="32"/>
          <w:szCs w:val="32"/>
        </w:rPr>
        <w:t>。</w:t>
      </w:r>
      <w:r>
        <w:rPr>
          <w:rFonts w:ascii="仿宋_GB2312" w:eastAsia="仿宋_GB2312"/>
          <w:color w:val="000000"/>
          <w:sz w:val="32"/>
          <w:szCs w:val="32"/>
        </w:rPr>
        <w:t xml:space="preserve"> </w:t>
      </w:r>
    </w:p>
    <w:p w14:paraId="1101C8CF" w14:textId="77777777" w:rsidR="00835421" w:rsidRDefault="009C3B9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0C817462"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5D5A9C81" w14:textId="03F67A34"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2022年收入预算</w:t>
      </w:r>
      <w:r w:rsidR="0077562A">
        <w:rPr>
          <w:rFonts w:ascii="仿宋_GB2312" w:eastAsia="仿宋_GB2312"/>
          <w:color w:val="000000"/>
          <w:sz w:val="32"/>
          <w:szCs w:val="32"/>
        </w:rPr>
        <w:t>4,004.01</w:t>
      </w:r>
      <w:r>
        <w:rPr>
          <w:rFonts w:ascii="仿宋_GB2312" w:eastAsia="仿宋_GB2312" w:hint="eastAsia"/>
          <w:color w:val="000000"/>
          <w:sz w:val="32"/>
          <w:szCs w:val="32"/>
        </w:rPr>
        <w:t>万元</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w:t>
      </w:r>
      <w:r w:rsidR="00A00967">
        <w:rPr>
          <w:rFonts w:ascii="仿宋_GB2312" w:eastAsia="仿宋_GB2312"/>
          <w:color w:val="000000"/>
          <w:sz w:val="32"/>
          <w:szCs w:val="32"/>
        </w:rPr>
        <w:t>4,004.01</w:t>
      </w:r>
      <w:r w:rsidR="00A00967">
        <w:rPr>
          <w:rFonts w:ascii="仿宋_GB2312" w:eastAsia="仿宋_GB2312" w:hint="eastAsia"/>
          <w:color w:val="000000"/>
          <w:sz w:val="32"/>
          <w:szCs w:val="32"/>
        </w:rPr>
        <w:t>万元</w:t>
      </w:r>
      <w:r>
        <w:rPr>
          <w:rFonts w:ascii="仿宋_GB2312" w:eastAsia="仿宋_GB2312" w:hint="eastAsia"/>
          <w:color w:val="000000"/>
          <w:sz w:val="32"/>
          <w:szCs w:val="32"/>
        </w:rPr>
        <w:t>。其中：</w:t>
      </w:r>
    </w:p>
    <w:p w14:paraId="7832F6F2" w14:textId="050A7BDD"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4E6EE5" w:rsidRPr="004E6EE5">
        <w:rPr>
          <w:rFonts w:ascii="仿宋_GB2312" w:eastAsia="仿宋_GB2312"/>
          <w:color w:val="000000"/>
          <w:sz w:val="32"/>
          <w:szCs w:val="32"/>
        </w:rPr>
        <w:t>3804.01</w:t>
      </w:r>
      <w:r>
        <w:rPr>
          <w:rFonts w:ascii="仿宋_GB2312" w:eastAsia="仿宋_GB2312" w:hint="eastAsia"/>
          <w:color w:val="000000"/>
          <w:sz w:val="32"/>
          <w:szCs w:val="32"/>
        </w:rPr>
        <w:t>万元</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w:t>
      </w:r>
      <w:r w:rsidR="00A00967" w:rsidRPr="004E6EE5">
        <w:rPr>
          <w:rFonts w:ascii="仿宋_GB2312" w:eastAsia="仿宋_GB2312"/>
          <w:color w:val="000000"/>
          <w:sz w:val="32"/>
          <w:szCs w:val="32"/>
        </w:rPr>
        <w:t>3804.01</w:t>
      </w:r>
      <w:r w:rsidR="00A00967">
        <w:rPr>
          <w:rFonts w:ascii="仿宋_GB2312" w:eastAsia="仿宋_GB2312" w:hint="eastAsia"/>
          <w:color w:val="000000"/>
          <w:sz w:val="32"/>
          <w:szCs w:val="32"/>
        </w:rPr>
        <w:t>万元，主要原因是本单位为新成立单位，2</w:t>
      </w:r>
      <w:r w:rsidR="00A00967">
        <w:rPr>
          <w:rFonts w:ascii="仿宋_GB2312" w:eastAsia="仿宋_GB2312"/>
          <w:color w:val="000000"/>
          <w:sz w:val="32"/>
          <w:szCs w:val="32"/>
        </w:rPr>
        <w:t>021</w:t>
      </w:r>
      <w:r w:rsidR="00A00967">
        <w:rPr>
          <w:rFonts w:ascii="仿宋_GB2312" w:eastAsia="仿宋_GB2312" w:hint="eastAsia"/>
          <w:color w:val="000000"/>
          <w:sz w:val="32"/>
          <w:szCs w:val="32"/>
        </w:rPr>
        <w:t>年无年初预算批复</w:t>
      </w:r>
      <w:r>
        <w:rPr>
          <w:rFonts w:ascii="仿宋_GB2312" w:eastAsia="仿宋_GB2312" w:hint="eastAsia"/>
          <w:color w:val="000000"/>
          <w:sz w:val="32"/>
          <w:szCs w:val="32"/>
        </w:rPr>
        <w:t>；</w:t>
      </w:r>
    </w:p>
    <w:p w14:paraId="5638AC4E" w14:textId="7A997221"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4E6EE5">
        <w:rPr>
          <w:rFonts w:ascii="仿宋_GB2312" w:eastAsia="仿宋_GB2312" w:hint="eastAsia"/>
          <w:color w:val="000000"/>
          <w:sz w:val="32"/>
          <w:szCs w:val="32"/>
        </w:rPr>
        <w:t>200</w:t>
      </w:r>
      <w:r w:rsidR="00554989">
        <w:rPr>
          <w:rFonts w:ascii="仿宋_GB2312" w:eastAsia="仿宋_GB2312" w:hint="eastAsia"/>
          <w:color w:val="000000"/>
          <w:sz w:val="32"/>
          <w:szCs w:val="32"/>
        </w:rPr>
        <w:t>.00</w:t>
      </w:r>
      <w:r>
        <w:rPr>
          <w:rFonts w:ascii="仿宋_GB2312" w:eastAsia="仿宋_GB2312" w:hint="eastAsia"/>
          <w:color w:val="000000"/>
          <w:sz w:val="32"/>
          <w:szCs w:val="32"/>
        </w:rPr>
        <w:t>万元</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万元增加200.00万元，主要原因是本单位为新成立单位，2</w:t>
      </w:r>
      <w:r w:rsidR="00A00967">
        <w:rPr>
          <w:rFonts w:ascii="仿宋_GB2312" w:eastAsia="仿宋_GB2312"/>
          <w:color w:val="000000"/>
          <w:sz w:val="32"/>
          <w:szCs w:val="32"/>
        </w:rPr>
        <w:t>021</w:t>
      </w:r>
      <w:r w:rsidR="00A00967">
        <w:rPr>
          <w:rFonts w:ascii="仿宋_GB2312" w:eastAsia="仿宋_GB2312" w:hint="eastAsia"/>
          <w:color w:val="000000"/>
          <w:sz w:val="32"/>
          <w:szCs w:val="32"/>
        </w:rPr>
        <w:t>年无年初预算批复</w:t>
      </w:r>
      <w:r>
        <w:rPr>
          <w:rFonts w:ascii="仿宋_GB2312" w:eastAsia="仿宋_GB2312" w:hint="eastAsia"/>
          <w:color w:val="000000"/>
          <w:sz w:val="32"/>
          <w:szCs w:val="32"/>
        </w:rPr>
        <w:t>；</w:t>
      </w:r>
    </w:p>
    <w:p w14:paraId="5737190E" w14:textId="6E0AEB04"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4E6EE5">
        <w:rPr>
          <w:rFonts w:ascii="仿宋_GB2312" w:eastAsia="仿宋_GB2312" w:hint="eastAsia"/>
          <w:color w:val="000000"/>
          <w:sz w:val="32"/>
          <w:szCs w:val="32"/>
        </w:rPr>
        <w:t>0</w:t>
      </w:r>
      <w:r w:rsidR="00554989">
        <w:rPr>
          <w:rFonts w:ascii="仿宋_GB2312" w:eastAsia="仿宋_GB2312" w:hint="eastAsia"/>
          <w:color w:val="000000"/>
          <w:sz w:val="32"/>
          <w:szCs w:val="32"/>
        </w:rPr>
        <w:t>.00</w:t>
      </w:r>
      <w:r>
        <w:rPr>
          <w:rFonts w:ascii="仿宋_GB2312" w:eastAsia="仿宋_GB2312" w:hint="eastAsia"/>
          <w:color w:val="000000"/>
          <w:sz w:val="32"/>
          <w:szCs w:val="32"/>
        </w:rPr>
        <w:t>万元</w:t>
      </w:r>
      <w:r w:rsidR="00A00967">
        <w:rPr>
          <w:rFonts w:ascii="仿宋_GB2312" w:eastAsia="仿宋_GB2312" w:hint="eastAsia"/>
          <w:color w:val="000000"/>
          <w:sz w:val="32"/>
          <w:szCs w:val="32"/>
        </w:rPr>
        <w:t>，与2</w:t>
      </w:r>
      <w:r w:rsidR="00A00967">
        <w:rPr>
          <w:rFonts w:ascii="仿宋_GB2312" w:eastAsia="仿宋_GB2312"/>
          <w:color w:val="000000"/>
          <w:sz w:val="32"/>
          <w:szCs w:val="32"/>
        </w:rPr>
        <w:t>021</w:t>
      </w:r>
      <w:r w:rsidR="00A00967">
        <w:rPr>
          <w:rFonts w:ascii="仿宋_GB2312" w:eastAsia="仿宋_GB2312" w:hint="eastAsia"/>
          <w:color w:val="000000"/>
          <w:sz w:val="32"/>
          <w:szCs w:val="32"/>
        </w:rPr>
        <w:t>年持平</w:t>
      </w:r>
      <w:r>
        <w:rPr>
          <w:rFonts w:ascii="仿宋_GB2312" w:eastAsia="仿宋_GB2312" w:hint="eastAsia"/>
          <w:color w:val="000000"/>
          <w:sz w:val="32"/>
          <w:szCs w:val="32"/>
        </w:rPr>
        <w:t>。</w:t>
      </w:r>
    </w:p>
    <w:p w14:paraId="77C91D6D"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797ADBA6" w14:textId="755B696A" w:rsidR="00835421" w:rsidRDefault="009C3B9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4E6EE5" w:rsidRPr="004E6EE5">
        <w:rPr>
          <w:rFonts w:ascii="仿宋_GB2312" w:eastAsia="仿宋_GB2312"/>
          <w:color w:val="000000"/>
          <w:sz w:val="32"/>
          <w:szCs w:val="32"/>
        </w:rPr>
        <w:t>4004.01</w:t>
      </w:r>
      <w:r w:rsidR="004E6EE5">
        <w:rPr>
          <w:rFonts w:ascii="仿宋_GB2312" w:eastAsia="仿宋_GB2312" w:hint="eastAsia"/>
          <w:color w:val="000000"/>
          <w:sz w:val="32"/>
          <w:szCs w:val="32"/>
        </w:rPr>
        <w:t>元</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w:t>
      </w:r>
      <w:r w:rsidR="00A00967">
        <w:rPr>
          <w:rFonts w:ascii="仿宋_GB2312" w:eastAsia="仿宋_GB2312"/>
          <w:color w:val="000000"/>
          <w:sz w:val="32"/>
          <w:szCs w:val="32"/>
        </w:rPr>
        <w:t>4,004.01</w:t>
      </w:r>
      <w:r w:rsidR="00A00967">
        <w:rPr>
          <w:rFonts w:ascii="仿宋_GB2312" w:eastAsia="仿宋_GB2312" w:hint="eastAsia"/>
          <w:color w:val="000000"/>
          <w:sz w:val="32"/>
          <w:szCs w:val="32"/>
        </w:rPr>
        <w:t>万元</w:t>
      </w:r>
      <w:r>
        <w:rPr>
          <w:rFonts w:ascii="仿宋_GB2312" w:eastAsia="仿宋_GB2312" w:hint="eastAsia"/>
          <w:color w:val="000000"/>
          <w:sz w:val="32"/>
          <w:szCs w:val="32"/>
        </w:rPr>
        <w:t>。</w:t>
      </w:r>
    </w:p>
    <w:p w14:paraId="794975A6" w14:textId="64DC4FC3" w:rsidR="00835421" w:rsidRDefault="009C3B9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BE051D">
        <w:rPr>
          <w:rFonts w:ascii="仿宋_GB2312" w:eastAsia="仿宋_GB2312"/>
          <w:color w:val="000000"/>
          <w:sz w:val="32"/>
          <w:szCs w:val="32"/>
        </w:rPr>
        <w:t>66.9</w:t>
      </w:r>
      <w:r w:rsidR="00BE051D">
        <w:rPr>
          <w:rFonts w:ascii="仿宋_GB2312" w:eastAsia="仿宋_GB2312" w:hint="eastAsia"/>
          <w:color w:val="000000"/>
          <w:sz w:val="32"/>
          <w:szCs w:val="32"/>
        </w:rPr>
        <w:t>9</w:t>
      </w:r>
      <w:r>
        <w:rPr>
          <w:rFonts w:ascii="仿宋_GB2312" w:eastAsia="仿宋_GB2312" w:hint="eastAsia"/>
          <w:color w:val="000000"/>
          <w:sz w:val="32"/>
          <w:szCs w:val="32"/>
        </w:rPr>
        <w:t>万元，占总支出预算</w:t>
      </w:r>
      <w:r w:rsidR="00BE051D" w:rsidRPr="00BE051D">
        <w:rPr>
          <w:rFonts w:ascii="仿宋_GB2312" w:eastAsia="仿宋_GB2312"/>
          <w:color w:val="000000"/>
          <w:sz w:val="32"/>
          <w:szCs w:val="32"/>
        </w:rPr>
        <w:t>1.67%</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w:t>
      </w:r>
      <w:r w:rsidR="00A00967">
        <w:rPr>
          <w:rFonts w:ascii="仿宋_GB2312" w:eastAsia="仿宋_GB2312"/>
          <w:color w:val="000000"/>
          <w:sz w:val="32"/>
          <w:szCs w:val="32"/>
        </w:rPr>
        <w:t>66.9</w:t>
      </w:r>
      <w:r w:rsidR="00A00967">
        <w:rPr>
          <w:rFonts w:ascii="仿宋_GB2312" w:eastAsia="仿宋_GB2312" w:hint="eastAsia"/>
          <w:color w:val="000000"/>
          <w:sz w:val="32"/>
          <w:szCs w:val="32"/>
        </w:rPr>
        <w:t>9</w:t>
      </w:r>
      <w:r w:rsidR="00A00967">
        <w:rPr>
          <w:rFonts w:ascii="仿宋_GB2312" w:eastAsia="仿宋_GB2312" w:hint="eastAsia"/>
          <w:color w:val="000000"/>
          <w:sz w:val="32"/>
          <w:szCs w:val="32"/>
        </w:rPr>
        <w:t>万元，</w:t>
      </w:r>
      <w:r w:rsidR="00A00967">
        <w:rPr>
          <w:rFonts w:ascii="仿宋_GB2312" w:eastAsia="仿宋_GB2312" w:hint="eastAsia"/>
          <w:color w:val="000000"/>
          <w:sz w:val="32"/>
          <w:szCs w:val="32"/>
        </w:rPr>
        <w:t>主要原因是本单位为新成立单位，2</w:t>
      </w:r>
      <w:r w:rsidR="00A00967">
        <w:rPr>
          <w:rFonts w:ascii="仿宋_GB2312" w:eastAsia="仿宋_GB2312"/>
          <w:color w:val="000000"/>
          <w:sz w:val="32"/>
          <w:szCs w:val="32"/>
        </w:rPr>
        <w:t>021</w:t>
      </w:r>
      <w:r w:rsidR="00A00967">
        <w:rPr>
          <w:rFonts w:ascii="仿宋_GB2312" w:eastAsia="仿宋_GB2312" w:hint="eastAsia"/>
          <w:color w:val="000000"/>
          <w:sz w:val="32"/>
          <w:szCs w:val="32"/>
        </w:rPr>
        <w:t>年无年初预算批复</w:t>
      </w:r>
      <w:r w:rsidR="00A00967">
        <w:rPr>
          <w:rFonts w:ascii="仿宋_GB2312" w:eastAsia="仿宋_GB2312" w:hint="eastAsia"/>
          <w:color w:val="000000"/>
          <w:sz w:val="32"/>
          <w:szCs w:val="32"/>
        </w:rPr>
        <w:t>；</w:t>
      </w:r>
      <w:r>
        <w:rPr>
          <w:rFonts w:ascii="仿宋_GB2312" w:eastAsia="仿宋_GB2312" w:hint="eastAsia"/>
          <w:color w:val="000000"/>
          <w:sz w:val="32"/>
          <w:szCs w:val="32"/>
        </w:rPr>
        <w:t>项目支出预算</w:t>
      </w:r>
      <w:r w:rsidR="00BE051D" w:rsidRPr="00BE051D">
        <w:rPr>
          <w:rFonts w:ascii="仿宋_GB2312" w:eastAsia="仿宋_GB2312"/>
          <w:color w:val="000000"/>
          <w:sz w:val="32"/>
          <w:szCs w:val="32"/>
        </w:rPr>
        <w:t>3937.0</w:t>
      </w:r>
      <w:r w:rsidR="00BE051D">
        <w:rPr>
          <w:rFonts w:ascii="仿宋_GB2312" w:eastAsia="仿宋_GB2312" w:hint="eastAsia"/>
          <w:color w:val="000000"/>
          <w:sz w:val="32"/>
          <w:szCs w:val="32"/>
        </w:rPr>
        <w:t>2</w:t>
      </w:r>
      <w:r>
        <w:rPr>
          <w:rFonts w:ascii="仿宋_GB2312" w:eastAsia="仿宋_GB2312" w:hint="eastAsia"/>
          <w:color w:val="000000"/>
          <w:sz w:val="32"/>
          <w:szCs w:val="32"/>
        </w:rPr>
        <w:t>万元</w:t>
      </w:r>
      <w:r w:rsidR="00A00967">
        <w:rPr>
          <w:rFonts w:ascii="仿宋_GB2312" w:eastAsia="仿宋_GB2312" w:hint="eastAsia"/>
          <w:color w:val="000000"/>
          <w:sz w:val="32"/>
          <w:szCs w:val="32"/>
        </w:rPr>
        <w:t>，</w:t>
      </w:r>
      <w:r w:rsidR="00A00967">
        <w:rPr>
          <w:rFonts w:ascii="仿宋_GB2312" w:eastAsia="仿宋_GB2312" w:hint="eastAsia"/>
          <w:color w:val="000000"/>
          <w:sz w:val="32"/>
          <w:szCs w:val="32"/>
        </w:rPr>
        <w:t>比2021年</w:t>
      </w:r>
      <w:r w:rsidR="00A00967">
        <w:rPr>
          <w:rFonts w:ascii="仿宋_GB2312" w:eastAsia="仿宋_GB2312"/>
          <w:color w:val="000000"/>
          <w:sz w:val="32"/>
          <w:szCs w:val="32"/>
        </w:rPr>
        <w:t>0</w:t>
      </w:r>
      <w:r w:rsidR="00A00967">
        <w:rPr>
          <w:rFonts w:ascii="仿宋_GB2312" w:eastAsia="仿宋_GB2312" w:hint="eastAsia"/>
          <w:color w:val="000000"/>
          <w:sz w:val="32"/>
          <w:szCs w:val="32"/>
        </w:rPr>
        <w:t>万元增加</w:t>
      </w:r>
      <w:r w:rsidR="00A00967" w:rsidRPr="00BE051D">
        <w:rPr>
          <w:rFonts w:ascii="仿宋_GB2312" w:eastAsia="仿宋_GB2312"/>
          <w:color w:val="000000"/>
          <w:sz w:val="32"/>
          <w:szCs w:val="32"/>
        </w:rPr>
        <w:t>3937.0</w:t>
      </w:r>
      <w:r w:rsidR="00A00967">
        <w:rPr>
          <w:rFonts w:ascii="仿宋_GB2312" w:eastAsia="仿宋_GB2312" w:hint="eastAsia"/>
          <w:color w:val="000000"/>
          <w:sz w:val="32"/>
          <w:szCs w:val="32"/>
        </w:rPr>
        <w:t>2万元，主要原因是本单位为新成立单位，2</w:t>
      </w:r>
      <w:r w:rsidR="00A00967">
        <w:rPr>
          <w:rFonts w:ascii="仿宋_GB2312" w:eastAsia="仿宋_GB2312"/>
          <w:color w:val="000000"/>
          <w:sz w:val="32"/>
          <w:szCs w:val="32"/>
        </w:rPr>
        <w:t>021</w:t>
      </w:r>
      <w:r w:rsidR="00A00967">
        <w:rPr>
          <w:rFonts w:ascii="仿宋_GB2312" w:eastAsia="仿宋_GB2312" w:hint="eastAsia"/>
          <w:color w:val="000000"/>
          <w:sz w:val="32"/>
          <w:szCs w:val="32"/>
        </w:rPr>
        <w:t>年无年初预算批复</w:t>
      </w:r>
      <w:r>
        <w:rPr>
          <w:rFonts w:ascii="仿宋_GB2312" w:eastAsia="仿宋_GB2312" w:hint="eastAsia"/>
          <w:color w:val="000000"/>
          <w:sz w:val="32"/>
          <w:szCs w:val="32"/>
        </w:rPr>
        <w:t>。其中：</w:t>
      </w:r>
    </w:p>
    <w:p w14:paraId="1233555F" w14:textId="77777777" w:rsidR="00835421" w:rsidRDefault="009C3B9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BE051D">
        <w:rPr>
          <w:rFonts w:ascii="仿宋_GB2312" w:eastAsia="仿宋_GB2312" w:hint="eastAsia"/>
          <w:color w:val="000000"/>
          <w:sz w:val="32"/>
          <w:szCs w:val="32"/>
        </w:rPr>
        <w:t>0</w:t>
      </w:r>
      <w:r w:rsidR="001A0733">
        <w:rPr>
          <w:rFonts w:ascii="仿宋_GB2312" w:eastAsia="仿宋_GB2312" w:hint="eastAsia"/>
          <w:color w:val="000000"/>
          <w:sz w:val="32"/>
          <w:szCs w:val="32"/>
        </w:rPr>
        <w:t>.00</w:t>
      </w:r>
      <w:r>
        <w:rPr>
          <w:rFonts w:ascii="仿宋_GB2312" w:eastAsia="仿宋_GB2312" w:hint="eastAsia"/>
          <w:color w:val="000000"/>
          <w:sz w:val="32"/>
          <w:szCs w:val="32"/>
        </w:rPr>
        <w:t>万元。</w:t>
      </w:r>
    </w:p>
    <w:p w14:paraId="565EDEEC" w14:textId="77777777" w:rsidR="00835421" w:rsidRDefault="009C3B9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BE051D">
        <w:rPr>
          <w:rFonts w:ascii="仿宋_GB2312" w:eastAsia="仿宋_GB2312" w:hint="eastAsia"/>
          <w:color w:val="000000"/>
          <w:sz w:val="32"/>
          <w:szCs w:val="32"/>
        </w:rPr>
        <w:t>0</w:t>
      </w:r>
      <w:r w:rsidR="001A0733">
        <w:rPr>
          <w:rFonts w:ascii="仿宋_GB2312" w:eastAsia="仿宋_GB2312" w:hint="eastAsia"/>
          <w:color w:val="000000"/>
          <w:sz w:val="32"/>
          <w:szCs w:val="32"/>
        </w:rPr>
        <w:t>.00</w:t>
      </w:r>
      <w:r>
        <w:rPr>
          <w:rFonts w:ascii="仿宋_GB2312" w:eastAsia="仿宋_GB2312" w:hint="eastAsia"/>
          <w:color w:val="000000"/>
          <w:sz w:val="32"/>
          <w:szCs w:val="32"/>
        </w:rPr>
        <w:t>万元。</w:t>
      </w:r>
    </w:p>
    <w:p w14:paraId="109AF388" w14:textId="77777777" w:rsidR="00835421" w:rsidRDefault="009C3B9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BE051D">
        <w:rPr>
          <w:rFonts w:ascii="仿宋_GB2312" w:eastAsia="仿宋_GB2312" w:hint="eastAsia"/>
          <w:color w:val="000000"/>
          <w:sz w:val="32"/>
          <w:szCs w:val="32"/>
        </w:rPr>
        <w:t>0</w:t>
      </w:r>
      <w:r w:rsidR="001A0733">
        <w:rPr>
          <w:rFonts w:ascii="仿宋_GB2312" w:eastAsia="仿宋_GB2312" w:hint="eastAsia"/>
          <w:color w:val="000000"/>
          <w:sz w:val="32"/>
          <w:szCs w:val="32"/>
        </w:rPr>
        <w:t>.00</w:t>
      </w:r>
      <w:r>
        <w:rPr>
          <w:rFonts w:ascii="仿宋_GB2312" w:eastAsia="仿宋_GB2312" w:hint="eastAsia"/>
          <w:color w:val="000000"/>
          <w:sz w:val="32"/>
          <w:szCs w:val="32"/>
        </w:rPr>
        <w:t>万元。</w:t>
      </w:r>
    </w:p>
    <w:p w14:paraId="237D5C2F" w14:textId="77777777" w:rsidR="00835421" w:rsidRDefault="009C3B9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1B463E42" w14:textId="77777777" w:rsidR="00835421" w:rsidRDefault="008C5DF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北京教育督导评估院预算项目支出主要分为单位业务发展类、</w:t>
      </w:r>
      <w:r w:rsidR="007A61E6">
        <w:rPr>
          <w:rFonts w:ascii="仿宋_GB2312" w:eastAsia="仿宋_GB2312" w:hint="eastAsia"/>
          <w:color w:val="000000"/>
          <w:sz w:val="32"/>
          <w:szCs w:val="32"/>
        </w:rPr>
        <w:t>办公设备购置类、</w:t>
      </w:r>
      <w:r>
        <w:rPr>
          <w:rFonts w:ascii="仿宋_GB2312" w:eastAsia="仿宋_GB2312" w:hint="eastAsia"/>
          <w:color w:val="000000"/>
          <w:sz w:val="32"/>
          <w:szCs w:val="32"/>
        </w:rPr>
        <w:t>办公用房修缮类、公用经费及人员经费</w:t>
      </w:r>
      <w:r w:rsidR="0042238C">
        <w:rPr>
          <w:rFonts w:ascii="仿宋_GB2312" w:eastAsia="仿宋_GB2312" w:hint="eastAsia"/>
          <w:color w:val="000000"/>
          <w:sz w:val="32"/>
          <w:szCs w:val="32"/>
        </w:rPr>
        <w:t>等方向</w:t>
      </w:r>
      <w:r>
        <w:rPr>
          <w:rFonts w:ascii="仿宋_GB2312" w:eastAsia="仿宋_GB2312" w:hint="eastAsia"/>
          <w:color w:val="000000"/>
          <w:sz w:val="32"/>
          <w:szCs w:val="32"/>
        </w:rPr>
        <w:t>。</w:t>
      </w:r>
      <w:r w:rsidR="0042238C">
        <w:rPr>
          <w:rFonts w:ascii="仿宋_GB2312" w:eastAsia="仿宋_GB2312" w:hint="eastAsia"/>
          <w:color w:val="000000"/>
          <w:sz w:val="32"/>
          <w:szCs w:val="32"/>
        </w:rPr>
        <w:t>单位业务发展类项目</w:t>
      </w:r>
      <w:r w:rsidR="00667A59">
        <w:rPr>
          <w:rFonts w:ascii="仿宋_GB2312" w:eastAsia="仿宋_GB2312" w:hint="eastAsia"/>
          <w:color w:val="000000"/>
          <w:sz w:val="32"/>
          <w:szCs w:val="32"/>
        </w:rPr>
        <w:t>支出</w:t>
      </w:r>
      <w:r w:rsidR="0042238C">
        <w:rPr>
          <w:rFonts w:ascii="仿宋_GB2312" w:eastAsia="仿宋_GB2312" w:hint="eastAsia"/>
          <w:color w:val="000000"/>
          <w:sz w:val="32"/>
          <w:szCs w:val="32"/>
        </w:rPr>
        <w:t>主要</w:t>
      </w:r>
      <w:r w:rsidR="00667A59">
        <w:rPr>
          <w:rFonts w:ascii="仿宋_GB2312" w:eastAsia="仿宋_GB2312" w:hint="eastAsia"/>
          <w:color w:val="000000"/>
          <w:sz w:val="32"/>
          <w:szCs w:val="32"/>
        </w:rPr>
        <w:t>用于北京地区</w:t>
      </w:r>
      <w:r w:rsidR="00667A59">
        <w:rPr>
          <w:rFonts w:ascii="仿宋_GB2312" w:eastAsia="仿宋_GB2312" w:hint="eastAsia"/>
          <w:color w:val="000000"/>
          <w:sz w:val="32"/>
          <w:szCs w:val="32"/>
        </w:rPr>
        <w:lastRenderedPageBreak/>
        <w:t>学前教育、义务教育质量的研究和监测、本科及硕士学位论文抽检、推进北京市督导评估体系及督学队伍建设、“双减”政策实施效果的调查等。其他项目支出主要用于保证单位及人员的正常运转。</w:t>
      </w:r>
    </w:p>
    <w:p w14:paraId="70CF32E1" w14:textId="77777777" w:rsidR="00835421" w:rsidRDefault="009C3B9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57DFD7D3" w14:textId="77777777" w:rsidR="00835421" w:rsidRDefault="009C3B9A" w:rsidP="001F33A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w:t>
      </w:r>
      <w:r w:rsidR="001F33AC">
        <w:rPr>
          <w:rFonts w:ascii="仿宋_GB2312" w:eastAsia="仿宋_GB2312" w:hint="eastAsia"/>
          <w:color w:val="000000"/>
          <w:sz w:val="32"/>
          <w:szCs w:val="32"/>
        </w:rPr>
        <w:t>年无财政拨款安排的“三公”经费预算。</w:t>
      </w:r>
    </w:p>
    <w:p w14:paraId="41679DAF" w14:textId="77777777" w:rsidR="00835421" w:rsidRDefault="009C3B9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3F1908DB"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3E75A1EF"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F33AC">
        <w:rPr>
          <w:rFonts w:ascii="仿宋_GB2312" w:eastAsia="仿宋_GB2312" w:hint="eastAsia"/>
          <w:color w:val="000000"/>
          <w:sz w:val="32"/>
          <w:szCs w:val="32"/>
        </w:rPr>
        <w:t>北京教育督导评估</w:t>
      </w:r>
      <w:proofErr w:type="gramStart"/>
      <w:r w:rsidR="001F33AC">
        <w:rPr>
          <w:rFonts w:ascii="仿宋_GB2312" w:eastAsia="仿宋_GB2312" w:hint="eastAsia"/>
          <w:color w:val="000000"/>
          <w:sz w:val="32"/>
          <w:szCs w:val="32"/>
        </w:rPr>
        <w:t>院</w:t>
      </w:r>
      <w:r>
        <w:rPr>
          <w:rFonts w:ascii="仿宋_GB2312" w:eastAsia="仿宋_GB2312" w:hint="eastAsia"/>
          <w:color w:val="000000"/>
          <w:sz w:val="32"/>
          <w:szCs w:val="32"/>
        </w:rPr>
        <w:t>政府</w:t>
      </w:r>
      <w:proofErr w:type="gramEnd"/>
      <w:r>
        <w:rPr>
          <w:rFonts w:ascii="仿宋_GB2312" w:eastAsia="仿宋_GB2312" w:hint="eastAsia"/>
          <w:color w:val="000000"/>
          <w:sz w:val="32"/>
          <w:szCs w:val="32"/>
        </w:rPr>
        <w:t>采购预算总额</w:t>
      </w:r>
      <w:r w:rsidR="001F33AC">
        <w:rPr>
          <w:rFonts w:ascii="仿宋_GB2312" w:eastAsia="仿宋_GB2312"/>
          <w:color w:val="000000"/>
          <w:sz w:val="32"/>
          <w:szCs w:val="32"/>
        </w:rPr>
        <w:t>2464.02</w:t>
      </w:r>
      <w:r>
        <w:rPr>
          <w:rFonts w:ascii="仿宋_GB2312" w:eastAsia="仿宋_GB2312" w:hint="eastAsia"/>
          <w:color w:val="000000"/>
          <w:sz w:val="32"/>
          <w:szCs w:val="32"/>
        </w:rPr>
        <w:t>万元，其中：政府采购货物预算</w:t>
      </w:r>
      <w:r w:rsidR="001F33AC" w:rsidRPr="001F33AC">
        <w:rPr>
          <w:rFonts w:ascii="仿宋_GB2312" w:eastAsia="仿宋_GB2312"/>
          <w:color w:val="000000"/>
          <w:sz w:val="32"/>
          <w:szCs w:val="32"/>
        </w:rPr>
        <w:t>67.7</w:t>
      </w:r>
      <w:r w:rsidR="001A0733">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sidR="001F33AC">
        <w:rPr>
          <w:rFonts w:ascii="仿宋_GB2312" w:eastAsia="仿宋_GB2312"/>
          <w:color w:val="000000"/>
          <w:sz w:val="32"/>
          <w:szCs w:val="32"/>
        </w:rPr>
        <w:t>953.8</w:t>
      </w:r>
      <w:r w:rsidR="001F33AC">
        <w:rPr>
          <w:rFonts w:ascii="仿宋_GB2312" w:eastAsia="仿宋_GB2312" w:hint="eastAsia"/>
          <w:color w:val="000000"/>
          <w:sz w:val="32"/>
          <w:szCs w:val="32"/>
        </w:rPr>
        <w:t>2</w:t>
      </w:r>
      <w:r>
        <w:rPr>
          <w:rFonts w:ascii="仿宋_GB2312" w:eastAsia="仿宋_GB2312" w:hint="eastAsia"/>
          <w:color w:val="000000"/>
          <w:sz w:val="32"/>
          <w:szCs w:val="32"/>
        </w:rPr>
        <w:t>万元，政府采购服务预算</w:t>
      </w:r>
      <w:r w:rsidR="001F33AC">
        <w:rPr>
          <w:rFonts w:ascii="仿宋_GB2312" w:eastAsia="仿宋_GB2312"/>
          <w:color w:val="000000"/>
          <w:sz w:val="32"/>
          <w:szCs w:val="32"/>
        </w:rPr>
        <w:t>1442.5</w:t>
      </w:r>
      <w:r w:rsidR="001A0733">
        <w:rPr>
          <w:rFonts w:ascii="仿宋_GB2312" w:eastAsia="仿宋_GB2312" w:hint="eastAsia"/>
          <w:color w:val="000000"/>
          <w:sz w:val="32"/>
          <w:szCs w:val="32"/>
        </w:rPr>
        <w:t>0</w:t>
      </w:r>
      <w:r>
        <w:rPr>
          <w:rFonts w:ascii="仿宋_GB2312" w:eastAsia="仿宋_GB2312" w:hint="eastAsia"/>
          <w:color w:val="000000"/>
          <w:sz w:val="32"/>
          <w:szCs w:val="32"/>
        </w:rPr>
        <w:t>万元。</w:t>
      </w:r>
    </w:p>
    <w:p w14:paraId="41D228A3"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366DD4C0"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554989">
        <w:rPr>
          <w:rFonts w:ascii="仿宋_GB2312" w:eastAsia="仿宋_GB2312" w:hint="eastAsia"/>
          <w:color w:val="000000"/>
          <w:sz w:val="32"/>
          <w:szCs w:val="32"/>
        </w:rPr>
        <w:t>北京教育督导评估</w:t>
      </w:r>
      <w:proofErr w:type="gramStart"/>
      <w:r w:rsidR="00554989">
        <w:rPr>
          <w:rFonts w:ascii="仿宋_GB2312" w:eastAsia="仿宋_GB2312" w:hint="eastAsia"/>
          <w:color w:val="000000"/>
          <w:sz w:val="32"/>
          <w:szCs w:val="32"/>
        </w:rPr>
        <w:t>院</w:t>
      </w:r>
      <w:r>
        <w:rPr>
          <w:rFonts w:ascii="仿宋_GB2312" w:eastAsia="仿宋_GB2312" w:hint="eastAsia"/>
          <w:color w:val="000000"/>
          <w:sz w:val="32"/>
          <w:szCs w:val="32"/>
        </w:rPr>
        <w:t>政府</w:t>
      </w:r>
      <w:proofErr w:type="gramEnd"/>
      <w:r>
        <w:rPr>
          <w:rFonts w:ascii="仿宋_GB2312" w:eastAsia="仿宋_GB2312" w:hint="eastAsia"/>
          <w:color w:val="000000"/>
          <w:sz w:val="32"/>
          <w:szCs w:val="32"/>
        </w:rPr>
        <w:t>购买服务预算总额</w:t>
      </w:r>
      <w:r w:rsidR="00554989">
        <w:rPr>
          <w:rFonts w:ascii="仿宋_GB2312" w:eastAsia="仿宋_GB2312" w:hint="eastAsia"/>
          <w:color w:val="000000"/>
          <w:sz w:val="32"/>
          <w:szCs w:val="32"/>
        </w:rPr>
        <w:t>0</w:t>
      </w:r>
      <w:r w:rsidR="001A0733">
        <w:rPr>
          <w:rFonts w:ascii="仿宋_GB2312" w:eastAsia="仿宋_GB2312" w:hint="eastAsia"/>
          <w:color w:val="000000"/>
          <w:sz w:val="32"/>
          <w:szCs w:val="32"/>
        </w:rPr>
        <w:t>.00</w:t>
      </w:r>
      <w:r>
        <w:rPr>
          <w:rFonts w:ascii="仿宋_GB2312" w:eastAsia="仿宋_GB2312" w:hint="eastAsia"/>
          <w:color w:val="000000"/>
          <w:sz w:val="32"/>
          <w:szCs w:val="32"/>
        </w:rPr>
        <w:t>万元。</w:t>
      </w:r>
    </w:p>
    <w:p w14:paraId="2E8793EE"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2242E48F"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7B470648"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6EC8EB2B"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554989">
        <w:rPr>
          <w:rFonts w:ascii="仿宋_GB2312" w:eastAsia="仿宋_GB2312" w:hint="eastAsia"/>
          <w:color w:val="000000"/>
          <w:sz w:val="32"/>
          <w:szCs w:val="32"/>
        </w:rPr>
        <w:t>北京教育督导评估院</w:t>
      </w:r>
      <w:r>
        <w:rPr>
          <w:rFonts w:ascii="仿宋_GB2312" w:eastAsia="仿宋_GB2312" w:hint="eastAsia"/>
          <w:color w:val="000000"/>
          <w:sz w:val="32"/>
          <w:szCs w:val="32"/>
        </w:rPr>
        <w:t>填报绩效目标的预算项目</w:t>
      </w:r>
      <w:r w:rsidR="001A0733">
        <w:rPr>
          <w:rFonts w:ascii="仿宋_GB2312" w:eastAsia="仿宋_GB2312" w:hint="eastAsia"/>
          <w:color w:val="000000"/>
          <w:sz w:val="32"/>
          <w:szCs w:val="32"/>
        </w:rPr>
        <w:t>19</w:t>
      </w:r>
      <w:r>
        <w:rPr>
          <w:rFonts w:ascii="仿宋_GB2312" w:eastAsia="仿宋_GB2312" w:hint="eastAsia"/>
          <w:color w:val="000000"/>
          <w:sz w:val="32"/>
          <w:szCs w:val="32"/>
        </w:rPr>
        <w:t>个，占本单位全部预算项目</w:t>
      </w:r>
      <w:r w:rsidR="001A0733">
        <w:rPr>
          <w:rFonts w:ascii="仿宋_GB2312" w:eastAsia="仿宋_GB2312" w:hint="eastAsia"/>
          <w:color w:val="000000"/>
          <w:sz w:val="32"/>
          <w:szCs w:val="32"/>
        </w:rPr>
        <w:t>19</w:t>
      </w:r>
      <w:r>
        <w:rPr>
          <w:rFonts w:ascii="仿宋_GB2312" w:eastAsia="仿宋_GB2312" w:hint="eastAsia"/>
          <w:color w:val="000000"/>
          <w:sz w:val="32"/>
          <w:szCs w:val="32"/>
        </w:rPr>
        <w:t>个的</w:t>
      </w:r>
      <w:r w:rsidR="001A0733">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sidR="005E50B8" w:rsidRPr="005E50B8">
        <w:rPr>
          <w:rFonts w:ascii="仿宋_GB2312" w:eastAsia="仿宋_GB2312"/>
          <w:color w:val="000000"/>
          <w:sz w:val="32"/>
          <w:szCs w:val="32"/>
        </w:rPr>
        <w:t>3937.02</w:t>
      </w:r>
      <w:r>
        <w:rPr>
          <w:rFonts w:ascii="仿宋_GB2312" w:eastAsia="仿宋_GB2312" w:hint="eastAsia"/>
          <w:color w:val="000000"/>
          <w:sz w:val="32"/>
          <w:szCs w:val="32"/>
        </w:rPr>
        <w:t>万元，占本单位年初全部项目支出预算的</w:t>
      </w:r>
      <w:r w:rsidR="005E50B8">
        <w:rPr>
          <w:rFonts w:ascii="仿宋_GB2312" w:eastAsia="仿宋_GB2312" w:hint="eastAsia"/>
          <w:color w:val="000000"/>
          <w:sz w:val="32"/>
          <w:szCs w:val="32"/>
        </w:rPr>
        <w:t>100</w:t>
      </w:r>
      <w:r>
        <w:rPr>
          <w:rFonts w:ascii="仿宋_GB2312" w:eastAsia="仿宋_GB2312" w:hint="eastAsia"/>
          <w:color w:val="000000"/>
          <w:sz w:val="32"/>
          <w:szCs w:val="32"/>
        </w:rPr>
        <w:t>%。</w:t>
      </w:r>
    </w:p>
    <w:p w14:paraId="2CF2C9EE"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79398C4B"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2FC81B79"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2AD2BF1C"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本单位2022年无国有资本经营预算财政拨款安排的预算。</w:t>
      </w:r>
    </w:p>
    <w:p w14:paraId="71FA59F4" w14:textId="77777777" w:rsidR="00835421" w:rsidRDefault="009C3B9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C59DC1B"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5E50B8">
        <w:rPr>
          <w:rFonts w:ascii="仿宋_GB2312" w:eastAsia="仿宋_GB2312" w:hint="eastAsia"/>
          <w:color w:val="000000"/>
          <w:sz w:val="32"/>
          <w:szCs w:val="32"/>
        </w:rPr>
        <w:t>北京教育督导评估院</w:t>
      </w:r>
      <w:r>
        <w:rPr>
          <w:rFonts w:ascii="仿宋_GB2312" w:eastAsia="仿宋_GB2312" w:hint="eastAsia"/>
          <w:color w:val="000000"/>
          <w:sz w:val="32"/>
          <w:szCs w:val="32"/>
        </w:rPr>
        <w:t>共有车辆</w:t>
      </w:r>
      <w:r w:rsidR="005E50B8">
        <w:rPr>
          <w:rFonts w:ascii="仿宋_GB2312" w:eastAsia="仿宋_GB2312" w:hint="eastAsia"/>
          <w:color w:val="000000"/>
          <w:sz w:val="32"/>
          <w:szCs w:val="32"/>
        </w:rPr>
        <w:t>0</w:t>
      </w:r>
      <w:r>
        <w:rPr>
          <w:rFonts w:ascii="仿宋_GB2312" w:eastAsia="仿宋_GB2312" w:hint="eastAsia"/>
          <w:color w:val="000000"/>
          <w:sz w:val="32"/>
          <w:szCs w:val="32"/>
        </w:rPr>
        <w:t>台，共计</w:t>
      </w:r>
      <w:r w:rsidR="005E50B8">
        <w:rPr>
          <w:rFonts w:ascii="仿宋_GB2312" w:eastAsia="仿宋_GB2312" w:hint="eastAsia"/>
          <w:color w:val="000000"/>
          <w:sz w:val="32"/>
          <w:szCs w:val="32"/>
        </w:rPr>
        <w:t>0.00</w:t>
      </w:r>
      <w:r>
        <w:rPr>
          <w:rFonts w:ascii="仿宋_GB2312" w:eastAsia="仿宋_GB2312" w:hint="eastAsia"/>
          <w:color w:val="000000"/>
          <w:sz w:val="32"/>
          <w:szCs w:val="32"/>
        </w:rPr>
        <w:t>万元；单位价值50万元以上的通用设备</w:t>
      </w:r>
      <w:r w:rsidR="005E50B8">
        <w:rPr>
          <w:rFonts w:ascii="仿宋_GB2312" w:eastAsia="仿宋_GB2312" w:hint="eastAsia"/>
          <w:color w:val="000000"/>
          <w:sz w:val="32"/>
          <w:szCs w:val="32"/>
        </w:rPr>
        <w:t>0</w:t>
      </w:r>
      <w:r>
        <w:rPr>
          <w:rFonts w:ascii="仿宋_GB2312" w:eastAsia="仿宋_GB2312" w:hint="eastAsia"/>
          <w:color w:val="000000"/>
          <w:sz w:val="32"/>
          <w:szCs w:val="32"/>
        </w:rPr>
        <w:t>台（套），共计</w:t>
      </w:r>
      <w:r w:rsidR="005E50B8">
        <w:rPr>
          <w:rFonts w:ascii="仿宋_GB2312" w:eastAsia="仿宋_GB2312" w:hint="eastAsia"/>
          <w:color w:val="000000"/>
          <w:sz w:val="32"/>
          <w:szCs w:val="32"/>
        </w:rPr>
        <w:t>0.00</w:t>
      </w:r>
      <w:r>
        <w:rPr>
          <w:rFonts w:ascii="仿宋_GB2312" w:eastAsia="仿宋_GB2312" w:hint="eastAsia"/>
          <w:color w:val="000000"/>
          <w:sz w:val="32"/>
          <w:szCs w:val="32"/>
        </w:rPr>
        <w:t>万元，单位价值100万元以上的专用设备</w:t>
      </w:r>
      <w:r w:rsidR="005E50B8">
        <w:rPr>
          <w:rFonts w:ascii="仿宋_GB2312" w:eastAsia="仿宋_GB2312" w:hint="eastAsia"/>
          <w:color w:val="000000"/>
          <w:sz w:val="32"/>
          <w:szCs w:val="32"/>
        </w:rPr>
        <w:t>0</w:t>
      </w:r>
      <w:r>
        <w:rPr>
          <w:rFonts w:ascii="仿宋_GB2312" w:eastAsia="仿宋_GB2312" w:hint="eastAsia"/>
          <w:color w:val="000000"/>
          <w:sz w:val="32"/>
          <w:szCs w:val="32"/>
        </w:rPr>
        <w:t>台（套）、共计</w:t>
      </w:r>
      <w:r w:rsidR="005E50B8">
        <w:rPr>
          <w:rFonts w:ascii="仿宋_GB2312" w:eastAsia="仿宋_GB2312" w:hint="eastAsia"/>
          <w:color w:val="000000"/>
          <w:sz w:val="32"/>
          <w:szCs w:val="32"/>
        </w:rPr>
        <w:t>0.00</w:t>
      </w:r>
      <w:r>
        <w:rPr>
          <w:rFonts w:ascii="仿宋_GB2312" w:eastAsia="仿宋_GB2312" w:hint="eastAsia"/>
          <w:color w:val="000000"/>
          <w:sz w:val="32"/>
          <w:szCs w:val="32"/>
        </w:rPr>
        <w:t>万元。</w:t>
      </w:r>
    </w:p>
    <w:p w14:paraId="0E5DB208" w14:textId="77777777" w:rsidR="00835421" w:rsidRDefault="009C3B9A">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3B83958D"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20D285A"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DD1CE47"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4E33B81"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C6EA92A" w14:textId="77777777" w:rsidR="00835421" w:rsidRDefault="009C3B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C5CA047" w14:textId="77777777" w:rsidR="00835421" w:rsidRDefault="009C3B9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287D8C7A" w14:textId="77777777" w:rsidR="00835421" w:rsidRDefault="009C3B9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2022年单位预算报表</w:t>
      </w:r>
    </w:p>
    <w:p w14:paraId="7382DF23" w14:textId="77777777" w:rsidR="00835421" w:rsidRDefault="009C3B9A">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7EB7321B" w14:textId="77777777" w:rsidR="00835421" w:rsidRDefault="009C3B9A">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1F33AC">
        <w:rPr>
          <w:rFonts w:ascii="仿宋_GB2312" w:eastAsia="仿宋_GB2312" w:hint="eastAsia"/>
          <w:color w:val="000000"/>
          <w:sz w:val="32"/>
          <w:szCs w:val="32"/>
        </w:rPr>
        <w:t>北京教育督导评估院</w:t>
      </w:r>
      <w:r>
        <w:rPr>
          <w:rFonts w:ascii="仿宋_GB2312" w:eastAsia="仿宋_GB2312" w:hint="eastAsia"/>
          <w:color w:val="000000"/>
          <w:sz w:val="32"/>
          <w:szCs w:val="32"/>
        </w:rPr>
        <w:t>2022年度单位预算报表</w:t>
      </w:r>
    </w:p>
    <w:sectPr w:rsidR="008354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D93B5" w14:textId="77777777" w:rsidR="00D23FE5" w:rsidRDefault="00D23FE5" w:rsidP="007C09E1">
      <w:r>
        <w:separator/>
      </w:r>
    </w:p>
  </w:endnote>
  <w:endnote w:type="continuationSeparator" w:id="0">
    <w:p w14:paraId="2D49B80F" w14:textId="77777777" w:rsidR="00D23FE5" w:rsidRDefault="00D23FE5" w:rsidP="007C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default"/>
    <w:sig w:usb0="00000000" w:usb1="184F6CF8" w:usb2="00000012" w:usb3="00000000" w:csb0="00160001" w:csb1="1203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B8991" w14:textId="77777777" w:rsidR="00D23FE5" w:rsidRDefault="00D23FE5" w:rsidP="007C09E1">
      <w:r>
        <w:separator/>
      </w:r>
    </w:p>
  </w:footnote>
  <w:footnote w:type="continuationSeparator" w:id="0">
    <w:p w14:paraId="6EA110F4" w14:textId="77777777" w:rsidR="00D23FE5" w:rsidRDefault="00D23FE5" w:rsidP="007C09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89A"/>
    <w:rsid w:val="00034CBF"/>
    <w:rsid w:val="00061819"/>
    <w:rsid w:val="0006292A"/>
    <w:rsid w:val="000871C3"/>
    <w:rsid w:val="001A0733"/>
    <w:rsid w:val="001F33AC"/>
    <w:rsid w:val="0042238C"/>
    <w:rsid w:val="004760BF"/>
    <w:rsid w:val="004E6EE5"/>
    <w:rsid w:val="00554989"/>
    <w:rsid w:val="00593E2B"/>
    <w:rsid w:val="005E50B8"/>
    <w:rsid w:val="00652B55"/>
    <w:rsid w:val="00667A59"/>
    <w:rsid w:val="006C21C6"/>
    <w:rsid w:val="006E3BDA"/>
    <w:rsid w:val="0077562A"/>
    <w:rsid w:val="007A61E6"/>
    <w:rsid w:val="007C09E1"/>
    <w:rsid w:val="00835421"/>
    <w:rsid w:val="00847D67"/>
    <w:rsid w:val="008C5DF6"/>
    <w:rsid w:val="009C3B9A"/>
    <w:rsid w:val="00A00967"/>
    <w:rsid w:val="00B92B97"/>
    <w:rsid w:val="00BE051D"/>
    <w:rsid w:val="00C22920"/>
    <w:rsid w:val="00C5589A"/>
    <w:rsid w:val="00D072E8"/>
    <w:rsid w:val="00D23FE5"/>
    <w:rsid w:val="00F038C5"/>
    <w:rsid w:val="00F773D1"/>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6D4C8"/>
  <w15:docId w15:val="{00259C5E-255A-4AFF-8853-BAA7B6AB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 w:type="paragraph" w:styleId="a7">
    <w:name w:val="Body Text Indent"/>
    <w:basedOn w:val="a"/>
    <w:link w:val="a8"/>
    <w:uiPriority w:val="99"/>
    <w:semiHidden/>
    <w:unhideWhenUsed/>
    <w:rsid w:val="0006292A"/>
    <w:pPr>
      <w:spacing w:after="120"/>
      <w:ind w:leftChars="200" w:left="420"/>
    </w:pPr>
  </w:style>
  <w:style w:type="character" w:customStyle="1" w:styleId="a8">
    <w:name w:val="正文文本缩进 字符"/>
    <w:basedOn w:val="a0"/>
    <w:link w:val="a7"/>
    <w:uiPriority w:val="99"/>
    <w:semiHidden/>
    <w:rsid w:val="0006292A"/>
    <w:rPr>
      <w:rFonts w:ascii="Times New Roman" w:eastAsia="宋体" w:hAnsi="Times New Roman" w:cs="Times New Roman"/>
      <w:kern w:val="2"/>
      <w:sz w:val="21"/>
      <w:szCs w:val="21"/>
    </w:rPr>
  </w:style>
  <w:style w:type="paragraph" w:styleId="21">
    <w:name w:val="Body Text First Indent 2"/>
    <w:basedOn w:val="a7"/>
    <w:link w:val="22"/>
    <w:uiPriority w:val="99"/>
    <w:unhideWhenUsed/>
    <w:qFormat/>
    <w:rsid w:val="0006292A"/>
    <w:pPr>
      <w:ind w:firstLineChars="200" w:firstLine="420"/>
    </w:pPr>
    <w:rPr>
      <w:rFonts w:ascii="Calibri" w:hAnsi="Calibri"/>
      <w:szCs w:val="22"/>
    </w:rPr>
  </w:style>
  <w:style w:type="character" w:customStyle="1" w:styleId="22">
    <w:name w:val="正文文本首行缩进 2 字符"/>
    <w:basedOn w:val="a8"/>
    <w:link w:val="21"/>
    <w:uiPriority w:val="99"/>
    <w:qFormat/>
    <w:rsid w:val="0006292A"/>
    <w:rPr>
      <w:rFonts w:ascii="Calibri" w:eastAsia="宋体" w:hAnsi="Calibri" w:cs="Times New Roman"/>
      <w:kern w:val="2"/>
      <w:sz w:val="21"/>
      <w:szCs w:val="22"/>
    </w:rPr>
  </w:style>
  <w:style w:type="paragraph" w:styleId="a9">
    <w:name w:val="Normal (Web)"/>
    <w:basedOn w:val="a"/>
    <w:uiPriority w:val="99"/>
    <w:unhideWhenUsed/>
    <w:qFormat/>
    <w:rsid w:val="0006292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6</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8</cp:revision>
  <dcterms:created xsi:type="dcterms:W3CDTF">2022-02-18T03:32:00Z</dcterms:created>
  <dcterms:modified xsi:type="dcterms:W3CDTF">2022-02-23T07:41:00Z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