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首都经济贸易大学2022年财政预算信息公开</w:t>
      </w:r>
    </w:p>
    <w:p>
      <w:pPr>
        <w:spacing w:line="24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 xml:space="preserve"> </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 xml:space="preserve"> </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2022年度单位预算情况说明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二、2022年收入及支出总体情况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2022年度单位预算报表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一、收支总表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二、收入总表</w:t>
      </w:r>
    </w:p>
    <w:p>
      <w:pPr>
        <w:autoSpaceDE w:val="0"/>
        <w:autoSpaceDN w:val="0"/>
        <w:adjustRightInd w:val="0"/>
        <w:spacing w:line="560" w:lineRule="exact"/>
        <w:ind w:firstLine="64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三、支出总表</w:t>
      </w:r>
    </w:p>
    <w:p>
      <w:pPr>
        <w:autoSpaceDE w:val="0"/>
        <w:autoSpaceDN w:val="0"/>
        <w:adjustRightInd w:val="0"/>
        <w:spacing w:line="560" w:lineRule="exact"/>
        <w:ind w:firstLine="64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四、项目支出表</w:t>
      </w:r>
    </w:p>
    <w:p>
      <w:pPr>
        <w:autoSpaceDE w:val="0"/>
        <w:autoSpaceDN w:val="0"/>
        <w:adjustRightInd w:val="0"/>
        <w:spacing w:line="560" w:lineRule="exact"/>
        <w:ind w:firstLine="64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五、政府采购预算明细表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六、财政拨款收支总表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七、一般公共预算财政拨款支出表</w:t>
      </w:r>
    </w:p>
    <w:p>
      <w:pPr>
        <w:autoSpaceDE w:val="0"/>
        <w:autoSpaceDN w:val="0"/>
        <w:adjustRightInd w:val="0"/>
        <w:spacing w:line="560" w:lineRule="exact"/>
        <w:ind w:firstLine="576" w:firstLineChars="200"/>
        <w:jc w:val="left"/>
        <w:rPr>
          <w:rFonts w:ascii="仿宋_GB2312" w:eastAsia="仿宋_GB2312" w:cs="宋体"/>
          <w:color w:val="000000"/>
          <w:spacing w:val="-16"/>
          <w:kern w:val="0"/>
          <w:sz w:val="32"/>
          <w:szCs w:val="32"/>
        </w:rPr>
      </w:pPr>
      <w:r>
        <w:rPr>
          <w:rFonts w:hint="eastAsia" w:ascii="仿宋_GB2312" w:eastAsia="仿宋_GB2312" w:cs="宋体"/>
          <w:color w:val="000000"/>
          <w:spacing w:val="-16"/>
          <w:kern w:val="0"/>
          <w:sz w:val="32"/>
          <w:szCs w:val="32"/>
        </w:rPr>
        <w:t>八、一般公共预算财政拨款基本支出表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rPr>
      </w:pPr>
      <w:r>
        <w:rPr>
          <w:rFonts w:hint="eastAsia" w:ascii="仿宋_GB2312" w:eastAsia="仿宋_GB2312" w:cs="宋体"/>
          <w:color w:val="000000"/>
          <w:kern w:val="0"/>
          <w:sz w:val="32"/>
          <w:szCs w:val="32"/>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rPr>
      </w:pPr>
      <w:r>
        <w:rPr>
          <w:rFonts w:hint="eastAsia" w:ascii="仿宋_GB2312" w:eastAsia="仿宋_GB2312" w:cs="宋体"/>
          <w:color w:val="000000"/>
          <w:spacing w:val="-16"/>
          <w:kern w:val="0"/>
          <w:sz w:val="32"/>
          <w:szCs w:val="32"/>
        </w:rPr>
        <w:t>十一、财政拨款</w:t>
      </w:r>
      <w:r>
        <w:rPr>
          <w:rFonts w:hint="eastAsia" w:ascii="仿宋_GB2312" w:eastAsia="仿宋_GB2312" w:cs="宋体"/>
          <w:color w:val="000000"/>
          <w:kern w:val="0"/>
          <w:sz w:val="32"/>
          <w:szCs w:val="32"/>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rPr>
      </w:pPr>
      <w:r>
        <w:rPr>
          <w:rFonts w:hint="eastAsia" w:ascii="仿宋_GB2312" w:eastAsia="仿宋_GB2312" w:cs="宋体"/>
          <w:color w:val="000000"/>
          <w:spacing w:val="-18"/>
          <w:kern w:val="0"/>
          <w:sz w:val="32"/>
          <w:szCs w:val="32"/>
        </w:rPr>
        <w:t>十二、政府购买服务预算财政拨款明细表</w:t>
      </w:r>
    </w:p>
    <w:p>
      <w:pPr>
        <w:autoSpaceDE w:val="0"/>
        <w:autoSpaceDN w:val="0"/>
        <w:adjustRightInd w:val="0"/>
        <w:spacing w:line="560" w:lineRule="exact"/>
        <w:ind w:firstLine="640" w:firstLineChars="200"/>
        <w:jc w:val="left"/>
      </w:pPr>
      <w:r>
        <w:rPr>
          <w:rFonts w:hint="eastAsia" w:ascii="仿宋_GB2312" w:eastAsia="仿宋_GB2312" w:cs="宋体"/>
          <w:color w:val="000000"/>
          <w:kern w:val="0"/>
          <w:sz w:val="32"/>
          <w:szCs w:val="32"/>
        </w:rPr>
        <w:t>十三、项目支出绩效目标表</w:t>
      </w:r>
      <w:r>
        <w:br w:type="page"/>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 xml:space="preserve"> 第一部分  2022年单位预算情况说明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ind w:firstLine="640" w:firstLineChars="200"/>
        <w:jc w:val="left"/>
        <w:rPr>
          <w:rFonts w:ascii="仿宋_GB2312" w:eastAsia="仿宋_GB2312"/>
          <w:sz w:val="32"/>
          <w:szCs w:val="32"/>
        </w:rPr>
      </w:pPr>
      <w:r>
        <w:rPr>
          <w:rFonts w:hint="eastAsia" w:ascii="仿宋_GB2312" w:eastAsia="仿宋_GB2312"/>
          <w:sz w:val="32"/>
          <w:szCs w:val="32"/>
        </w:rPr>
        <w:t>首都经济</w:t>
      </w:r>
      <w:r>
        <w:rPr>
          <w:rFonts w:ascii="仿宋_GB2312" w:eastAsia="仿宋_GB2312"/>
          <w:sz w:val="32"/>
          <w:szCs w:val="32"/>
        </w:rPr>
        <w:t>贸易大学</w:t>
      </w:r>
      <w:r>
        <w:rPr>
          <w:rFonts w:hint="eastAsia" w:ascii="仿宋_GB2312" w:eastAsia="仿宋_GB2312"/>
          <w:sz w:val="32"/>
          <w:szCs w:val="32"/>
        </w:rPr>
        <w:t>为公益二类</w:t>
      </w:r>
      <w:r>
        <w:rPr>
          <w:rFonts w:ascii="仿宋_GB2312" w:eastAsia="仿宋_GB2312"/>
          <w:sz w:val="32"/>
          <w:szCs w:val="32"/>
        </w:rPr>
        <w:t>事业单位</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首都经济贸易大学创建于1956年，是由原北京经济学院和原北京财贸学院于1995年3月合并、组建的北京市属重点大学。学校以全日制本科和研究生教育为，秉承“崇德尚能，经世济民”的校训精神，坚持内涵、特色、差异化发展道路，发展成为一所以经济学、管理学为重要特色和突出优势，法学、文学、理学和工学等多学科相互支撑、协调发展的北京市重点建设高水平研究型大学。作为市属高校，首都经济贸易大学认真贯彻习近平总书记的责任思想，进一步增强责任意识和担当精神，履行好人才培养、科学研究、社会服务和文化传承中的职责使命，团结带领全体师生员工谱写好实现中国梦的高等教育新篇章。</w:t>
      </w:r>
    </w:p>
    <w:p>
      <w:pPr>
        <w:ind w:firstLine="640" w:firstLineChars="200"/>
        <w:jc w:val="left"/>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全面从严治党</w:t>
      </w:r>
      <w:r>
        <w:rPr>
          <w:rFonts w:hint="eastAsia" w:ascii="仿宋_GB2312" w:eastAsia="仿宋_GB2312"/>
          <w:sz w:val="32"/>
          <w:szCs w:val="32"/>
        </w:rPr>
        <w:t>，加强党的建设，严格</w:t>
      </w:r>
      <w:r>
        <w:rPr>
          <w:rFonts w:hint="eastAsia" w:ascii="仿宋_GB2312" w:eastAsia="仿宋_GB2312"/>
          <w:sz w:val="32"/>
          <w:szCs w:val="32"/>
          <w:lang w:eastAsia="zh-CN"/>
        </w:rPr>
        <w:t>落实全面</w:t>
      </w:r>
      <w:bookmarkStart w:id="0" w:name="_GoBack"/>
      <w:bookmarkEnd w:id="0"/>
      <w:r>
        <w:rPr>
          <w:rFonts w:hint="eastAsia" w:ascii="仿宋_GB2312" w:eastAsia="仿宋_GB2312"/>
          <w:sz w:val="32"/>
          <w:szCs w:val="32"/>
          <w:lang w:eastAsia="zh-CN"/>
        </w:rPr>
        <w:t>从严治党</w:t>
      </w:r>
      <w:r>
        <w:rPr>
          <w:rFonts w:hint="eastAsia" w:ascii="仿宋_GB2312" w:eastAsia="仿宋_GB2312"/>
          <w:sz w:val="32"/>
          <w:szCs w:val="32"/>
        </w:rPr>
        <w:t>的第一责任，把党建工作作为主业抓紧抓好，抓出成效，加强高校党建和意识形态工作的职责使命。与党中央保持一致，认真领会和把握好习近平总书记系列重要讲话精神，并结合学校实际将讲话精神贯穿到工作的各个方面，扎扎实实做好意识形态工作，强化对师生员工的思想政治教育，建好舆论阵地，强化正面引导，切实加强网络舆论引导工作。充分借助课堂和各种传播媒体旗帜鲜明、及时有效地传播党的主张，弘扬社会正气，大力宣传社会主义核心价值体系和中国特色社会主义理论，增强师生员工的道路自信、理论自信和制度自信。要进一步加强思想政治教育工作者队伍建设，建立健全意识形态工作绩效考评办法，落实责任追究，加大相关经费投入，确保学校意识形态工作的有效开展。</w:t>
      </w:r>
    </w:p>
    <w:p>
      <w:pPr>
        <w:ind w:firstLine="640" w:firstLineChars="200"/>
        <w:jc w:val="left"/>
        <w:rPr>
          <w:rFonts w:ascii="仿宋_GB2312" w:eastAsia="仿宋_GB2312"/>
          <w:sz w:val="32"/>
          <w:szCs w:val="32"/>
        </w:rPr>
      </w:pPr>
      <w:r>
        <w:rPr>
          <w:rFonts w:hint="eastAsia" w:ascii="仿宋_GB2312" w:eastAsia="仿宋_GB2312"/>
          <w:sz w:val="32"/>
          <w:szCs w:val="32"/>
        </w:rPr>
        <w:t>（2）履行人才培养的职责使命，把立德树人作为学校的根本任务。坚持立德树人基本导向，本质要求是育人为本、德育为先、能力为重、全面发展，把人格的养成、知识的学习和能力的训练有机统一起来，始终高度重视教育和帮助学生树立正确的世界观、人生观、价值观，将个人成长成才与投身实现中华民族伟大复兴中国梦的实践紧密相连，使受教育者成为德智体美全面发展的社会主义建设者和接班人。</w:t>
      </w:r>
    </w:p>
    <w:p>
      <w:pPr>
        <w:ind w:firstLine="640" w:firstLineChars="200"/>
        <w:jc w:val="left"/>
        <w:rPr>
          <w:rFonts w:ascii="仿宋_GB2312" w:eastAsia="仿宋_GB2312"/>
          <w:sz w:val="32"/>
          <w:szCs w:val="32"/>
        </w:rPr>
      </w:pPr>
      <w:r>
        <w:rPr>
          <w:rFonts w:hint="eastAsia" w:ascii="仿宋_GB2312" w:eastAsia="仿宋_GB2312"/>
          <w:sz w:val="32"/>
          <w:szCs w:val="32"/>
        </w:rPr>
        <w:t>（3）认真贯彻落实中央关于深化教育领域综合改革的决定，深化高等教育综合改革，完善学校的内部治理结构，推动学校内涵式发展。结合经济社会发展需要和自身实际明确发展定位、战略、目标、思路等，在内涵式发展中实现全面发展。坚持规模与质量的协调统一，努力提高办学的质量与水平，立足现实条件谋发展，加强师资队伍建设，培育和弘扬优良学术风气，引导广大教职工积极培育和践行社会主义核心价值观，努力建设一支结构合理、素质优良、精干高效、富有创新能力的高水平师资队伍和员工队伍，提高教育教学质量，办好人民满意的高等教育。</w:t>
      </w:r>
    </w:p>
    <w:p>
      <w:pPr>
        <w:ind w:firstLine="640" w:firstLineChars="200"/>
        <w:jc w:val="left"/>
        <w:rPr>
          <w:rFonts w:ascii="仿宋_GB2312" w:eastAsia="仿宋_GB2312"/>
          <w:sz w:val="32"/>
          <w:szCs w:val="32"/>
        </w:rPr>
      </w:pPr>
      <w:r>
        <w:rPr>
          <w:rFonts w:hint="eastAsia" w:ascii="仿宋_GB2312" w:eastAsia="仿宋_GB2312"/>
          <w:sz w:val="32"/>
          <w:szCs w:val="32"/>
        </w:rPr>
        <w:t>（4）服务经济社会发展，主动回应社会关切，紧密对接社会需求，突出经济社会发展导向，优化专业结构布局和人才培养类型结构，为经济建设和社会发展提供各类合格的专门人才。特别注重与经济建设和社会发展的融合，增强科技创新能力，深化产学研合作，使学校成为经济建设和社会发展的研究开发基地。</w:t>
      </w:r>
    </w:p>
    <w:p>
      <w:pPr>
        <w:ind w:firstLine="640" w:firstLineChars="200"/>
        <w:jc w:val="left"/>
        <w:rPr>
          <w:rFonts w:ascii="楷体_GB2312" w:eastAsia="楷体_GB2312"/>
          <w:color w:val="000000"/>
          <w:sz w:val="32"/>
          <w:szCs w:val="32"/>
        </w:rPr>
      </w:pPr>
      <w:r>
        <w:rPr>
          <w:rFonts w:hint="eastAsia" w:ascii="楷体_GB2312" w:eastAsia="楷体_GB2312"/>
          <w:color w:val="000000"/>
          <w:sz w:val="32"/>
          <w:szCs w:val="32"/>
        </w:rPr>
        <w:t>（二）机构设置情况</w:t>
      </w:r>
    </w:p>
    <w:p>
      <w:pPr>
        <w:ind w:firstLine="640" w:firstLineChars="200"/>
        <w:jc w:val="left"/>
      </w:pPr>
      <w:r>
        <w:rPr>
          <w:rFonts w:hint="eastAsia" w:ascii="仿宋_GB2312" w:eastAsia="仿宋_GB2312"/>
          <w:sz w:val="32"/>
          <w:szCs w:val="32"/>
        </w:rPr>
        <w:t>学校共设城市经济与公共管理学院、工商管理学院、经济学院、会计学院、劳动经济学院、文化与传播学院、管理工程学院、财政税务学院、法学院、金融学院、统计学院、外国语学院、华侨学院、马克思主义学院、国际经济管理学院、体育部、国际学院、继续教育学院、商务学院、数据科学学院（筹）等19个教学单位；党委宣传部、党委组织部、党委统战部等22个机关单位；图书馆、教育技术中心、经济与管理实验教学中心等6个教辅单位。</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（三）人员构成情况</w:t>
      </w:r>
    </w:p>
    <w:p>
      <w:pPr>
        <w:ind w:firstLine="640" w:firstLineChars="200"/>
        <w:rPr>
          <w:rFonts w:ascii="仿宋_GB2312" w:eastAsia="仿宋_GB2312"/>
          <w:sz w:val="32"/>
          <w:szCs w:val="32"/>
        </w:rPr>
      </w:pPr>
      <w:r>
        <w:rPr>
          <w:rFonts w:hint="eastAsia" w:ascii="仿宋_GB2312" w:eastAsia="仿宋_GB2312"/>
          <w:sz w:val="32"/>
          <w:szCs w:val="32"/>
        </w:rPr>
        <w:t>首都经济贸易大学事业编制1887人，实有人数1484人；聘用人员478人。</w:t>
      </w:r>
    </w:p>
    <w:p>
      <w:pPr>
        <w:ind w:firstLine="640" w:firstLineChars="200"/>
        <w:rPr>
          <w:rFonts w:ascii="仿宋_GB2312" w:eastAsia="仿宋_GB2312"/>
          <w:sz w:val="32"/>
          <w:szCs w:val="32"/>
        </w:rPr>
      </w:pPr>
      <w:r>
        <w:rPr>
          <w:rFonts w:hint="eastAsia" w:ascii="仿宋_GB2312" w:eastAsia="仿宋_GB2312"/>
          <w:sz w:val="32"/>
          <w:szCs w:val="32"/>
        </w:rPr>
        <w:t>离退休人员1658人，其中：离休47人，退休1611人。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学生16299人（包括博士研究生、硕士研究生、本专科生等）。</w:t>
      </w:r>
    </w:p>
    <w:p>
      <w:pPr>
        <w:spacing w:line="560" w:lineRule="exact"/>
        <w:ind w:firstLine="640" w:firstLineChars="200"/>
        <w:rPr>
          <w:rFonts w:ascii="黑体" w:eastAsia="黑体"/>
          <w:color w:val="000000"/>
          <w:sz w:val="32"/>
          <w:szCs w:val="32"/>
        </w:rPr>
      </w:pPr>
      <w:r>
        <w:rPr>
          <w:rFonts w:hint="eastAsia" w:ascii="黑体" w:hAnsi="黑体" w:eastAsia="黑体"/>
          <w:color w:val="000000"/>
          <w:sz w:val="32"/>
          <w:szCs w:val="32"/>
        </w:rPr>
        <w:t>二、</w:t>
      </w:r>
      <w:r>
        <w:rPr>
          <w:rFonts w:hint="eastAsia" w:ascii="黑体" w:eastAsia="黑体"/>
          <w:color w:val="000000"/>
          <w:sz w:val="32"/>
          <w:szCs w:val="32"/>
        </w:rPr>
        <w:t>2022年收入及支出总体情况</w:t>
      </w:r>
    </w:p>
    <w:p>
      <w:pPr>
        <w:spacing w:line="560" w:lineRule="exact"/>
        <w:ind w:firstLine="640" w:firstLineChars="200"/>
      </w:pPr>
      <w:r>
        <w:rPr>
          <w:rFonts w:hint="eastAsia" w:ascii="楷体_GB2312" w:eastAsia="楷体_GB2312"/>
          <w:color w:val="000000"/>
          <w:sz w:val="32"/>
          <w:szCs w:val="32"/>
        </w:rPr>
        <w:t>（一）收入预算说明</w:t>
      </w:r>
    </w:p>
    <w:p>
      <w:pPr>
        <w:ind w:firstLine="640" w:firstLineChars="200"/>
        <w:rPr>
          <w:rFonts w:ascii="仿宋_GB2312" w:eastAsia="仿宋_GB2312"/>
          <w:sz w:val="32"/>
          <w:szCs w:val="32"/>
        </w:rPr>
      </w:pPr>
      <w:r>
        <w:rPr>
          <w:rFonts w:hint="eastAsia" w:ascii="仿宋_GB2312" w:eastAsia="仿宋_GB2312"/>
          <w:sz w:val="32"/>
          <w:szCs w:val="32"/>
        </w:rPr>
        <w:t>2022年收入预算</w:t>
      </w:r>
      <w:r>
        <w:rPr>
          <w:rFonts w:ascii="仿宋_GB2312" w:eastAsia="仿宋_GB2312"/>
          <w:sz w:val="32"/>
          <w:szCs w:val="32"/>
        </w:rPr>
        <w:t>119866.50</w:t>
      </w:r>
      <w:r>
        <w:rPr>
          <w:rFonts w:hint="eastAsia" w:ascii="仿宋_GB2312" w:eastAsia="仿宋_GB2312"/>
          <w:sz w:val="32"/>
          <w:szCs w:val="32"/>
        </w:rPr>
        <w:t>万元，比2021年</w:t>
      </w:r>
      <w:r>
        <w:rPr>
          <w:rFonts w:ascii="仿宋_GB2312" w:eastAsia="仿宋_GB2312"/>
          <w:sz w:val="32"/>
          <w:szCs w:val="32"/>
        </w:rPr>
        <w:t>121857.93</w:t>
      </w:r>
      <w:r>
        <w:rPr>
          <w:rFonts w:hint="eastAsia" w:ascii="仿宋_GB2312" w:eastAsia="仿宋_GB2312"/>
          <w:sz w:val="32"/>
          <w:szCs w:val="32"/>
        </w:rPr>
        <w:t>万元减少1991.43万元，减少</w:t>
      </w:r>
      <w:r>
        <w:rPr>
          <w:rFonts w:ascii="仿宋_GB2312" w:eastAsia="仿宋_GB2312"/>
          <w:sz w:val="32"/>
          <w:szCs w:val="32"/>
        </w:rPr>
        <w:t>1.</w:t>
      </w:r>
      <w:r>
        <w:rPr>
          <w:rFonts w:hint="eastAsia" w:ascii="仿宋_GB2312" w:eastAsia="仿宋_GB2312"/>
          <w:sz w:val="32"/>
          <w:szCs w:val="32"/>
        </w:rPr>
        <w:t>63%。其中：</w:t>
      </w:r>
    </w:p>
    <w:p>
      <w:pPr>
        <w:ind w:firstLine="640" w:firstLineChars="200"/>
        <w:rPr>
          <w:rFonts w:ascii="仿宋_GB2312" w:eastAsia="仿宋_GB2312"/>
          <w:color w:val="000000"/>
          <w:sz w:val="32"/>
          <w:szCs w:val="32"/>
        </w:rPr>
      </w:pPr>
      <w:r>
        <w:rPr>
          <w:rFonts w:hint="eastAsia" w:ascii="仿宋_GB2312" w:eastAsia="仿宋_GB2312"/>
          <w:sz w:val="32"/>
          <w:szCs w:val="32"/>
        </w:rPr>
        <w:t>2022年财政拨款收入</w:t>
      </w:r>
      <w:r>
        <w:rPr>
          <w:rFonts w:ascii="仿宋_GB2312" w:eastAsia="仿宋_GB2312"/>
          <w:sz w:val="32"/>
          <w:szCs w:val="32"/>
        </w:rPr>
        <w:t>88650.7</w:t>
      </w:r>
      <w:r>
        <w:rPr>
          <w:rFonts w:hint="eastAsia" w:ascii="仿宋_GB2312" w:eastAsia="仿宋_GB2312"/>
          <w:sz w:val="32"/>
          <w:szCs w:val="32"/>
        </w:rPr>
        <w:t>3 万元,比2021年91136.43万元减少2485.70万元。</w:t>
      </w:r>
      <w:r>
        <w:rPr>
          <w:rFonts w:hint="eastAsia" w:ascii="仿宋_GB2312" w:eastAsia="仿宋_GB2312"/>
          <w:color w:val="000000"/>
          <w:sz w:val="32"/>
          <w:szCs w:val="32"/>
        </w:rPr>
        <w:t>主要是2022年安排的基本建设经费较上年有所减少。</w:t>
      </w:r>
    </w:p>
    <w:p>
      <w:pPr>
        <w:ind w:firstLine="640" w:firstLineChars="200"/>
        <w:rPr>
          <w:rFonts w:ascii="仿宋_GB2312" w:eastAsia="仿宋_GB2312"/>
          <w:sz w:val="32"/>
          <w:szCs w:val="32"/>
        </w:rPr>
      </w:pPr>
      <w:r>
        <w:rPr>
          <w:rFonts w:hint="eastAsia" w:ascii="仿宋_GB2312" w:eastAsia="仿宋_GB2312"/>
          <w:sz w:val="32"/>
          <w:szCs w:val="32"/>
        </w:rPr>
        <w:t>2022年其他资金收入</w:t>
      </w:r>
      <w:r>
        <w:rPr>
          <w:rFonts w:ascii="仿宋_GB2312" w:eastAsia="仿宋_GB2312"/>
          <w:sz w:val="32"/>
          <w:szCs w:val="32"/>
        </w:rPr>
        <w:t>25995.00</w:t>
      </w:r>
      <w:r>
        <w:rPr>
          <w:rFonts w:hint="eastAsia" w:ascii="仿宋_GB2312" w:eastAsia="仿宋_GB2312"/>
          <w:sz w:val="32"/>
          <w:szCs w:val="32"/>
        </w:rPr>
        <w:t>万元,比2021年</w:t>
      </w:r>
      <w:r>
        <w:rPr>
          <w:rFonts w:ascii="仿宋_GB2312" w:eastAsia="仿宋_GB2312"/>
          <w:sz w:val="32"/>
          <w:szCs w:val="32"/>
        </w:rPr>
        <w:t>25353</w:t>
      </w:r>
      <w:r>
        <w:rPr>
          <w:rFonts w:hint="eastAsia" w:ascii="仿宋_GB2312" w:eastAsia="仿宋_GB2312"/>
          <w:sz w:val="32"/>
          <w:szCs w:val="32"/>
        </w:rPr>
        <w:t>万元增加642</w:t>
      </w:r>
      <w:r>
        <w:rPr>
          <w:rFonts w:ascii="仿宋_GB2312" w:eastAsia="仿宋_GB2312"/>
          <w:sz w:val="32"/>
          <w:szCs w:val="32"/>
        </w:rPr>
        <w:t>.00</w:t>
      </w:r>
      <w:r>
        <w:rPr>
          <w:rFonts w:hint="eastAsia" w:ascii="仿宋_GB2312" w:eastAsia="仿宋_GB2312"/>
          <w:sz w:val="32"/>
          <w:szCs w:val="32"/>
        </w:rPr>
        <w:t>万元，主要</w:t>
      </w:r>
      <w:r>
        <w:rPr>
          <w:rFonts w:ascii="仿宋_GB2312" w:eastAsia="仿宋_GB2312"/>
          <w:sz w:val="32"/>
          <w:szCs w:val="32"/>
        </w:rPr>
        <w:t>是</w:t>
      </w:r>
      <w:r>
        <w:rPr>
          <w:rFonts w:hint="eastAsia" w:ascii="仿宋_GB2312" w:eastAsia="仿宋_GB2312"/>
          <w:sz w:val="32"/>
          <w:szCs w:val="32"/>
        </w:rPr>
        <w:t>学生</w:t>
      </w:r>
      <w:r>
        <w:rPr>
          <w:rFonts w:ascii="仿宋_GB2312" w:eastAsia="仿宋_GB2312"/>
          <w:sz w:val="32"/>
          <w:szCs w:val="32"/>
        </w:rPr>
        <w:t>人数增长带来的</w:t>
      </w:r>
      <w:r>
        <w:rPr>
          <w:rFonts w:hint="eastAsia" w:ascii="仿宋_GB2312" w:eastAsia="仿宋_GB2312"/>
          <w:sz w:val="32"/>
          <w:szCs w:val="32"/>
        </w:rPr>
        <w:t>财政</w:t>
      </w:r>
      <w:r>
        <w:rPr>
          <w:rFonts w:ascii="仿宋_GB2312" w:eastAsia="仿宋_GB2312"/>
          <w:sz w:val="32"/>
          <w:szCs w:val="32"/>
        </w:rPr>
        <w:t>专户核拨的事业收入增长</w:t>
      </w:r>
      <w:r>
        <w:rPr>
          <w:rFonts w:hint="eastAsia" w:ascii="仿宋_GB2312" w:eastAsia="仿宋_GB2312"/>
          <w:sz w:val="32"/>
          <w:szCs w:val="32"/>
        </w:rPr>
        <w:t>和其他教育事业</w:t>
      </w:r>
      <w:r>
        <w:rPr>
          <w:rFonts w:ascii="仿宋_GB2312" w:eastAsia="仿宋_GB2312"/>
          <w:sz w:val="32"/>
          <w:szCs w:val="32"/>
        </w:rPr>
        <w:t>收入增长</w:t>
      </w:r>
      <w:r>
        <w:rPr>
          <w:rFonts w:hint="eastAsia" w:ascii="仿宋_GB2312" w:eastAsia="仿宋_GB2312"/>
          <w:sz w:val="32"/>
          <w:szCs w:val="32"/>
        </w:rPr>
        <w:t>。2</w:t>
      </w:r>
      <w:r>
        <w:rPr>
          <w:rFonts w:ascii="仿宋_GB2312" w:eastAsia="仿宋_GB2312"/>
          <w:sz w:val="32"/>
          <w:szCs w:val="32"/>
        </w:rPr>
        <w:t>022年</w:t>
      </w:r>
      <w:r>
        <w:rPr>
          <w:rFonts w:hint="eastAsia" w:ascii="仿宋_GB2312" w:eastAsia="仿宋_GB2312"/>
          <w:sz w:val="32"/>
          <w:szCs w:val="32"/>
        </w:rPr>
        <w:t>其他</w:t>
      </w:r>
      <w:r>
        <w:rPr>
          <w:rFonts w:ascii="仿宋_GB2312" w:eastAsia="仿宋_GB2312"/>
          <w:sz w:val="32"/>
          <w:szCs w:val="32"/>
        </w:rPr>
        <w:t>资金</w:t>
      </w:r>
      <w:r>
        <w:rPr>
          <w:rFonts w:hint="eastAsia" w:ascii="仿宋_GB2312" w:eastAsia="仿宋_GB2312"/>
          <w:sz w:val="32"/>
          <w:szCs w:val="32"/>
        </w:rPr>
        <w:t>收入预算</w:t>
      </w:r>
      <w:r>
        <w:rPr>
          <w:rFonts w:ascii="仿宋_GB2312" w:eastAsia="仿宋_GB2312"/>
          <w:sz w:val="32"/>
          <w:szCs w:val="32"/>
        </w:rPr>
        <w:t>主要包括</w:t>
      </w:r>
      <w:r>
        <w:rPr>
          <w:rFonts w:hint="eastAsia" w:ascii="仿宋_GB2312" w:eastAsia="仿宋_GB2312"/>
          <w:sz w:val="32"/>
          <w:szCs w:val="32"/>
        </w:rPr>
        <w:t>财政专户核拨的事业收入</w:t>
      </w:r>
      <w:r>
        <w:rPr>
          <w:rFonts w:ascii="仿宋_GB2312" w:eastAsia="仿宋_GB2312"/>
          <w:sz w:val="32"/>
          <w:szCs w:val="32"/>
        </w:rPr>
        <w:t>13375.00</w:t>
      </w:r>
      <w:r>
        <w:rPr>
          <w:rFonts w:hint="eastAsia" w:ascii="仿宋_GB2312" w:eastAsia="仿宋_GB2312"/>
          <w:sz w:val="32"/>
          <w:szCs w:val="32"/>
        </w:rPr>
        <w:t>万元、事业收入(不含财政专户管理的事业收入)</w:t>
      </w:r>
      <w:r>
        <w:rPr>
          <w:rFonts w:ascii="仿宋_GB2312" w:eastAsia="仿宋_GB2312"/>
          <w:sz w:val="32"/>
          <w:szCs w:val="32"/>
        </w:rPr>
        <w:t>9300.00万元、</w:t>
      </w:r>
      <w:r>
        <w:rPr>
          <w:rFonts w:hint="eastAsia" w:ascii="仿宋_GB2312" w:eastAsia="仿宋_GB2312"/>
          <w:sz w:val="32"/>
          <w:szCs w:val="32"/>
        </w:rPr>
        <w:t>事业单位经营收入</w:t>
      </w:r>
      <w:r>
        <w:rPr>
          <w:rFonts w:ascii="仿宋_GB2312" w:eastAsia="仿宋_GB2312"/>
          <w:sz w:val="32"/>
          <w:szCs w:val="32"/>
        </w:rPr>
        <w:t>420.00万元、</w:t>
      </w:r>
      <w:r>
        <w:rPr>
          <w:rFonts w:hint="eastAsia" w:ascii="仿宋_GB2312" w:eastAsia="仿宋_GB2312"/>
          <w:sz w:val="32"/>
          <w:szCs w:val="32"/>
        </w:rPr>
        <w:t>附属单位上缴收入</w:t>
      </w:r>
      <w:r>
        <w:rPr>
          <w:rFonts w:ascii="仿宋_GB2312" w:eastAsia="仿宋_GB2312"/>
          <w:sz w:val="32"/>
          <w:szCs w:val="32"/>
        </w:rPr>
        <w:t>270.00万元、</w:t>
      </w:r>
      <w:r>
        <w:rPr>
          <w:rFonts w:hint="eastAsia" w:ascii="仿宋_GB2312" w:eastAsia="仿宋_GB2312"/>
          <w:sz w:val="32"/>
          <w:szCs w:val="32"/>
        </w:rPr>
        <w:t>其他收入2630</w:t>
      </w:r>
      <w:r>
        <w:rPr>
          <w:rFonts w:ascii="仿宋_GB2312" w:eastAsia="仿宋_GB2312"/>
          <w:sz w:val="32"/>
          <w:szCs w:val="32"/>
        </w:rPr>
        <w:t>.00万元。</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上年结转结余资金</w:t>
      </w:r>
      <w:r>
        <w:rPr>
          <w:rFonts w:ascii="仿宋_GB2312" w:eastAsia="仿宋_GB2312"/>
          <w:sz w:val="32"/>
          <w:szCs w:val="32"/>
        </w:rPr>
        <w:t>5220.77</w:t>
      </w:r>
      <w:r>
        <w:rPr>
          <w:rFonts w:hint="eastAsia" w:ascii="仿宋_GB2312" w:eastAsia="仿宋_GB2312"/>
          <w:sz w:val="32"/>
          <w:szCs w:val="32"/>
        </w:rPr>
        <w:t>万元,比2021年</w:t>
      </w:r>
      <w:r>
        <w:rPr>
          <w:rFonts w:ascii="仿宋_GB2312" w:eastAsia="仿宋_GB2312"/>
          <w:sz w:val="32"/>
          <w:szCs w:val="32"/>
        </w:rPr>
        <w:t>5368.50</w:t>
      </w:r>
      <w:r>
        <w:rPr>
          <w:rFonts w:hint="eastAsia" w:ascii="仿宋_GB2312" w:eastAsia="仿宋_GB2312"/>
          <w:sz w:val="32"/>
          <w:szCs w:val="32"/>
        </w:rPr>
        <w:t>万元减少147.73万元。其中,上年结余资金</w:t>
      </w:r>
      <w:r>
        <w:rPr>
          <w:rFonts w:ascii="仿宋_GB2312" w:eastAsia="仿宋_GB2312"/>
          <w:sz w:val="32"/>
          <w:szCs w:val="32"/>
        </w:rPr>
        <w:t>5000.00</w:t>
      </w:r>
      <w:r>
        <w:rPr>
          <w:rFonts w:hint="eastAsia" w:ascii="仿宋_GB2312" w:eastAsia="仿宋_GB2312"/>
          <w:sz w:val="32"/>
          <w:szCs w:val="32"/>
        </w:rPr>
        <w:t>万元,比2021年3585.28万元增长</w:t>
      </w:r>
      <w:r>
        <w:rPr>
          <w:rFonts w:ascii="仿宋_GB2312" w:eastAsia="仿宋_GB2312"/>
          <w:sz w:val="32"/>
          <w:szCs w:val="32"/>
        </w:rPr>
        <w:t>1414.72</w:t>
      </w:r>
      <w:r>
        <w:rPr>
          <w:rFonts w:hint="eastAsia" w:ascii="仿宋_GB2312" w:eastAsia="仿宋_GB2312"/>
          <w:sz w:val="32"/>
          <w:szCs w:val="32"/>
        </w:rPr>
        <w:t>万元，主要</w:t>
      </w:r>
      <w:r>
        <w:rPr>
          <w:rFonts w:ascii="仿宋_GB2312" w:eastAsia="仿宋_GB2312"/>
          <w:sz w:val="32"/>
          <w:szCs w:val="32"/>
        </w:rPr>
        <w:t>原因是</w:t>
      </w:r>
      <w:r>
        <w:rPr>
          <w:rFonts w:hint="eastAsia" w:ascii="仿宋_GB2312" w:eastAsia="仿宋_GB2312"/>
          <w:sz w:val="32"/>
          <w:szCs w:val="32"/>
        </w:rPr>
        <w:t>我校预计</w:t>
      </w:r>
      <w:r>
        <w:rPr>
          <w:rFonts w:ascii="仿宋_GB2312" w:eastAsia="仿宋_GB2312"/>
          <w:sz w:val="32"/>
          <w:szCs w:val="32"/>
        </w:rPr>
        <w:t>可以统筹使用的非财政拨款结余资金</w:t>
      </w:r>
      <w:r>
        <w:rPr>
          <w:rFonts w:hint="eastAsia" w:ascii="仿宋_GB2312" w:eastAsia="仿宋_GB2312"/>
          <w:sz w:val="32"/>
          <w:szCs w:val="32"/>
        </w:rPr>
        <w:t>增长;继续使用的财政性结转资金220.77万元</w:t>
      </w:r>
      <w:r>
        <w:rPr>
          <w:rFonts w:ascii="仿宋_GB2312" w:eastAsia="仿宋_GB2312"/>
          <w:sz w:val="32"/>
          <w:szCs w:val="32"/>
        </w:rPr>
        <w:t>，比</w:t>
      </w:r>
      <w:r>
        <w:rPr>
          <w:rFonts w:hint="eastAsia" w:ascii="仿宋_GB2312" w:eastAsia="仿宋_GB2312"/>
          <w:sz w:val="32"/>
          <w:szCs w:val="32"/>
        </w:rPr>
        <w:t>2021年1783.22万元减少2003.99万元</w:t>
      </w:r>
      <w:r>
        <w:rPr>
          <w:rFonts w:ascii="仿宋_GB2312" w:eastAsia="仿宋_GB2312"/>
          <w:sz w:val="32"/>
          <w:szCs w:val="32"/>
        </w:rPr>
        <w:t>，</w:t>
      </w:r>
      <w:r>
        <w:rPr>
          <w:rFonts w:hint="eastAsia" w:ascii="仿宋_GB2312" w:eastAsia="仿宋_GB2312"/>
          <w:sz w:val="32"/>
          <w:szCs w:val="32"/>
        </w:rPr>
        <w:t>主要</w:t>
      </w:r>
      <w:r>
        <w:rPr>
          <w:rFonts w:ascii="仿宋_GB2312" w:eastAsia="仿宋_GB2312"/>
          <w:sz w:val="32"/>
          <w:szCs w:val="32"/>
        </w:rPr>
        <w:t>原因</w:t>
      </w:r>
      <w:r>
        <w:rPr>
          <w:rFonts w:hint="eastAsia" w:ascii="仿宋_GB2312" w:eastAsia="仿宋_GB2312"/>
          <w:sz w:val="32"/>
          <w:szCs w:val="32"/>
        </w:rPr>
        <w:t>是我校</w:t>
      </w:r>
      <w:r>
        <w:rPr>
          <w:rFonts w:ascii="仿宋_GB2312" w:eastAsia="仿宋_GB2312"/>
          <w:sz w:val="32"/>
          <w:szCs w:val="32"/>
        </w:rPr>
        <w:t>加快财政专项资金支付进度。</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（二）支出情况说明</w:t>
      </w:r>
    </w:p>
    <w:p>
      <w:pPr>
        <w:spacing w:line="560" w:lineRule="exact"/>
        <w:ind w:firstLine="640"/>
        <w:rPr>
          <w:rFonts w:ascii="仿宋_GB2312" w:eastAsia="仿宋_GB2312"/>
          <w:sz w:val="32"/>
          <w:szCs w:val="32"/>
        </w:rPr>
      </w:pPr>
      <w:r>
        <w:rPr>
          <w:rFonts w:hint="eastAsia" w:ascii="仿宋_GB2312" w:eastAsia="仿宋_GB2312"/>
          <w:color w:val="000000"/>
          <w:sz w:val="32"/>
          <w:szCs w:val="32"/>
        </w:rPr>
        <w:t>2022年支出预算</w:t>
      </w:r>
      <w:r>
        <w:rPr>
          <w:rFonts w:ascii="仿宋_GB2312" w:eastAsia="仿宋_GB2312"/>
          <w:sz w:val="32"/>
          <w:szCs w:val="32"/>
        </w:rPr>
        <w:t>119866.50</w:t>
      </w:r>
      <w:r>
        <w:rPr>
          <w:rFonts w:hint="eastAsia" w:ascii="仿宋_GB2312" w:eastAsia="仿宋_GB2312"/>
          <w:color w:val="000000"/>
          <w:sz w:val="32"/>
          <w:szCs w:val="32"/>
        </w:rPr>
        <w:t>万元，比2021年</w:t>
      </w:r>
      <w:r>
        <w:rPr>
          <w:rFonts w:ascii="仿宋_GB2312" w:eastAsia="仿宋_GB2312"/>
          <w:sz w:val="32"/>
          <w:szCs w:val="32"/>
        </w:rPr>
        <w:t>121857.93</w:t>
      </w:r>
      <w:r>
        <w:rPr>
          <w:rFonts w:hint="eastAsia" w:ascii="仿宋_GB2312" w:eastAsia="仿宋_GB2312"/>
          <w:sz w:val="32"/>
          <w:szCs w:val="32"/>
        </w:rPr>
        <w:t>万元减少1991.43万元，减少</w:t>
      </w:r>
      <w:r>
        <w:rPr>
          <w:rFonts w:ascii="仿宋_GB2312" w:eastAsia="仿宋_GB2312"/>
          <w:sz w:val="32"/>
          <w:szCs w:val="32"/>
        </w:rPr>
        <w:t>1.</w:t>
      </w:r>
      <w:r>
        <w:rPr>
          <w:rFonts w:hint="eastAsia" w:ascii="仿宋_GB2312" w:eastAsia="仿宋_GB2312"/>
          <w:sz w:val="32"/>
          <w:szCs w:val="32"/>
        </w:rPr>
        <w:t>63%。</w:t>
      </w:r>
    </w:p>
    <w:p>
      <w:pPr>
        <w:ind w:firstLine="555"/>
        <w:rPr>
          <w:rFonts w:ascii="仿宋_GB2312" w:eastAsia="仿宋_GB2312"/>
          <w:color w:val="000000"/>
          <w:sz w:val="32"/>
          <w:szCs w:val="32"/>
        </w:rPr>
      </w:pPr>
      <w:r>
        <w:rPr>
          <w:rFonts w:hint="eastAsia" w:ascii="仿宋_GB2312" w:eastAsia="仿宋_GB2312"/>
          <w:sz w:val="32"/>
          <w:szCs w:val="32"/>
        </w:rPr>
        <w:t>基本支出预算</w:t>
      </w:r>
      <w:r>
        <w:rPr>
          <w:rFonts w:ascii="仿宋_GB2312" w:eastAsia="仿宋_GB2312"/>
          <w:sz w:val="32"/>
          <w:szCs w:val="32"/>
        </w:rPr>
        <w:t>112747.40</w:t>
      </w:r>
      <w:r>
        <w:rPr>
          <w:rFonts w:hint="eastAsia" w:ascii="仿宋_GB2312" w:eastAsia="仿宋_GB2312"/>
          <w:sz w:val="32"/>
          <w:szCs w:val="32"/>
        </w:rPr>
        <w:t>万元，占总支出预算94.06%，比2021年</w:t>
      </w:r>
      <w:r>
        <w:rPr>
          <w:rFonts w:ascii="仿宋_GB2312" w:eastAsia="仿宋_GB2312"/>
          <w:sz w:val="32"/>
          <w:szCs w:val="32"/>
        </w:rPr>
        <w:t>112314.59</w:t>
      </w:r>
      <w:r>
        <w:rPr>
          <w:rFonts w:hint="eastAsia" w:ascii="仿宋_GB2312" w:eastAsia="仿宋_GB2312"/>
          <w:sz w:val="32"/>
          <w:szCs w:val="32"/>
        </w:rPr>
        <w:t>万元增加</w:t>
      </w:r>
      <w:r>
        <w:rPr>
          <w:rFonts w:ascii="仿宋_GB2312" w:eastAsia="仿宋_GB2312"/>
          <w:sz w:val="32"/>
          <w:szCs w:val="32"/>
        </w:rPr>
        <w:t>432.81</w:t>
      </w:r>
      <w:r>
        <w:rPr>
          <w:rFonts w:hint="eastAsia" w:ascii="仿宋_GB2312" w:eastAsia="仿宋_GB2312"/>
          <w:sz w:val="32"/>
          <w:szCs w:val="32"/>
        </w:rPr>
        <w:t>万元，增长</w:t>
      </w:r>
      <w:r>
        <w:rPr>
          <w:rFonts w:ascii="仿宋_GB2312" w:eastAsia="仿宋_GB2312"/>
          <w:sz w:val="32"/>
          <w:szCs w:val="32"/>
        </w:rPr>
        <w:t>0.39</w:t>
      </w:r>
      <w:r>
        <w:rPr>
          <w:rFonts w:hint="eastAsia" w:ascii="仿宋_GB2312" w:eastAsia="仿宋_GB2312"/>
          <w:sz w:val="32"/>
          <w:szCs w:val="32"/>
        </w:rPr>
        <w:t>%。主要原因是根据事业发展规划，安排基本支出较上年有少量增长。项目支出预算</w:t>
      </w:r>
      <w:r>
        <w:rPr>
          <w:rFonts w:ascii="仿宋_GB2312" w:eastAsia="仿宋_GB2312"/>
          <w:sz w:val="32"/>
          <w:szCs w:val="32"/>
        </w:rPr>
        <w:t>7119.1</w:t>
      </w:r>
      <w:r>
        <w:rPr>
          <w:rFonts w:hint="eastAsia" w:ascii="仿宋_GB2312" w:eastAsia="仿宋_GB2312"/>
          <w:sz w:val="32"/>
          <w:szCs w:val="32"/>
        </w:rPr>
        <w:t>1万元，比2021年</w:t>
      </w:r>
      <w:r>
        <w:rPr>
          <w:rFonts w:ascii="仿宋_GB2312" w:eastAsia="仿宋_GB2312"/>
          <w:sz w:val="32"/>
          <w:szCs w:val="32"/>
        </w:rPr>
        <w:t>9543.34</w:t>
      </w:r>
      <w:r>
        <w:rPr>
          <w:rFonts w:hint="eastAsia" w:ascii="仿宋_GB2312" w:eastAsia="仿宋_GB2312"/>
          <w:sz w:val="32"/>
          <w:szCs w:val="32"/>
        </w:rPr>
        <w:t>万元减少2424.24万元，减少25.40%，主要原因是根据事业发展规划，减少基本建设等项目支出。</w:t>
      </w:r>
      <w:r>
        <w:rPr>
          <w:rFonts w:hint="eastAsia" w:ascii="仿宋_GB2312" w:eastAsia="仿宋_GB2312"/>
          <w:color w:val="000000"/>
          <w:sz w:val="32"/>
          <w:szCs w:val="32"/>
        </w:rPr>
        <w:t>其中：</w:t>
      </w:r>
    </w:p>
    <w:p>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1.事业单位经营支出0万元。</w:t>
      </w:r>
    </w:p>
    <w:p>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2.上缴上级支出0万元。</w:t>
      </w:r>
    </w:p>
    <w:p>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3.对附属单位补助支出0万元。</w:t>
      </w:r>
    </w:p>
    <w:p>
      <w:pPr>
        <w:spacing w:line="560" w:lineRule="exact"/>
        <w:ind w:firstLine="640" w:firstLineChars="200"/>
        <w:rPr>
          <w:rFonts w:asci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按照支出内容，项目支出主要用于学生资助、教师队伍建设、国际合作与交流、抚恤金等。</w:t>
      </w:r>
    </w:p>
    <w:p>
      <w:pPr>
        <w:spacing w:line="560" w:lineRule="exact"/>
        <w:ind w:firstLine="640" w:firstLineChars="200"/>
        <w:rPr>
          <w:rFonts w:ascii="黑体" w:eastAsia="黑体"/>
          <w:color w:val="000000"/>
          <w:sz w:val="32"/>
          <w:szCs w:val="32"/>
        </w:rPr>
      </w:pPr>
      <w:r>
        <w:rPr>
          <w:rFonts w:hint="eastAsia" w:ascii="黑体" w:hAnsi="黑体" w:eastAsia="黑体"/>
          <w:color w:val="000000"/>
          <w:sz w:val="32"/>
          <w:szCs w:val="32"/>
        </w:rPr>
        <w:t>四、单位</w:t>
      </w:r>
      <w:r>
        <w:rPr>
          <w:rFonts w:hint="eastAsia" w:ascii="黑体" w:eastAsia="黑体"/>
          <w:color w:val="000000"/>
          <w:sz w:val="32"/>
          <w:szCs w:val="32"/>
        </w:rPr>
        <w:t>“三公”经费财政拨款预算说明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（一）“三公”经费的单位范围</w:t>
      </w:r>
    </w:p>
    <w:p>
      <w:pPr>
        <w:ind w:firstLine="555"/>
        <w:rPr>
          <w:rFonts w:ascii="仿宋_GB2312" w:eastAsia="仿宋_GB2312"/>
          <w:color w:val="000000"/>
          <w:sz w:val="32"/>
          <w:szCs w:val="32"/>
        </w:rPr>
      </w:pPr>
      <w:r>
        <w:rPr>
          <w:rFonts w:hint="eastAsia" w:ascii="仿宋_GB2312" w:eastAsia="仿宋_GB2312"/>
          <w:sz w:val="32"/>
          <w:szCs w:val="32"/>
        </w:rPr>
        <w:t>因公出国（境）费用、公务接待费、公务用车购置和运行维护费开支单位为首都经济贸易大学，无所属单位。</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（二）“三公”经费预算财政拨款情况说明</w:t>
      </w:r>
    </w:p>
    <w:p>
      <w:pPr>
        <w:ind w:firstLine="555"/>
        <w:rPr>
          <w:rFonts w:ascii="仿宋_GB2312" w:eastAsia="仿宋_GB2312"/>
          <w:sz w:val="32"/>
          <w:szCs w:val="32"/>
        </w:rPr>
      </w:pPr>
      <w:r>
        <w:rPr>
          <w:rFonts w:hint="eastAsia" w:ascii="仿宋_GB2312" w:eastAsia="仿宋_GB2312"/>
          <w:sz w:val="32"/>
          <w:szCs w:val="32"/>
        </w:rPr>
        <w:t>2022年"三公经费"财政拨款预算</w:t>
      </w:r>
      <w:r>
        <w:rPr>
          <w:rFonts w:ascii="仿宋_GB2312" w:eastAsia="仿宋_GB2312"/>
          <w:sz w:val="32"/>
          <w:szCs w:val="32"/>
        </w:rPr>
        <w:t>34.00</w:t>
      </w:r>
      <w:r>
        <w:rPr>
          <w:rFonts w:hint="eastAsia" w:ascii="仿宋_GB2312" w:eastAsia="仿宋_GB2312"/>
          <w:sz w:val="32"/>
          <w:szCs w:val="32"/>
        </w:rPr>
        <w:t>万元，比2021年"三公经费"财政拨款预算减少7</w:t>
      </w:r>
      <w:r>
        <w:rPr>
          <w:rFonts w:ascii="仿宋_GB2312" w:eastAsia="仿宋_GB2312"/>
          <w:sz w:val="32"/>
          <w:szCs w:val="32"/>
        </w:rPr>
        <w:t>3.93</w:t>
      </w:r>
      <w:r>
        <w:rPr>
          <w:rFonts w:hint="eastAsia" w:ascii="仿宋_GB2312" w:eastAsia="仿宋_GB2312"/>
          <w:sz w:val="32"/>
          <w:szCs w:val="32"/>
        </w:rPr>
        <w:t>万元。其中：</w:t>
      </w:r>
    </w:p>
    <w:p>
      <w:pPr>
        <w:ind w:firstLine="555"/>
        <w:rPr>
          <w:rFonts w:ascii="仿宋_GB2312" w:eastAsia="仿宋_GB2312"/>
          <w:sz w:val="32"/>
          <w:szCs w:val="32"/>
        </w:rPr>
      </w:pPr>
      <w:r>
        <w:rPr>
          <w:rFonts w:hint="eastAsia" w:ascii="仿宋_GB2312" w:eastAsia="仿宋_GB2312"/>
          <w:sz w:val="32"/>
          <w:szCs w:val="32"/>
        </w:rPr>
        <w:t>1.因公出国（境）费用。2022年预算数</w:t>
      </w:r>
      <w:r>
        <w:rPr>
          <w:rFonts w:ascii="仿宋_GB2312" w:eastAsia="仿宋_GB2312"/>
          <w:sz w:val="32"/>
          <w:szCs w:val="32"/>
        </w:rPr>
        <w:t>3.00</w:t>
      </w:r>
      <w:r>
        <w:rPr>
          <w:rFonts w:hint="eastAsia" w:ascii="仿宋_GB2312" w:eastAsia="仿宋_GB2312"/>
          <w:sz w:val="32"/>
          <w:szCs w:val="32"/>
        </w:rPr>
        <w:t>万元，比2021年预算数</w:t>
      </w:r>
      <w:r>
        <w:rPr>
          <w:rFonts w:ascii="仿宋_GB2312" w:eastAsia="仿宋_GB2312"/>
          <w:sz w:val="32"/>
          <w:szCs w:val="32"/>
        </w:rPr>
        <w:t>82.93</w:t>
      </w:r>
      <w:r>
        <w:rPr>
          <w:rFonts w:hint="eastAsia" w:ascii="仿宋_GB2312" w:eastAsia="仿宋_GB2312"/>
          <w:sz w:val="32"/>
          <w:szCs w:val="32"/>
        </w:rPr>
        <w:t>万元减少</w:t>
      </w:r>
      <w:r>
        <w:rPr>
          <w:rFonts w:ascii="仿宋_GB2312" w:eastAsia="仿宋_GB2312"/>
          <w:sz w:val="32"/>
          <w:szCs w:val="32"/>
        </w:rPr>
        <w:t>79.93</w:t>
      </w:r>
      <w:r>
        <w:rPr>
          <w:rFonts w:hint="eastAsia" w:ascii="仿宋_GB2312" w:eastAsia="仿宋_GB2312"/>
          <w:sz w:val="32"/>
          <w:szCs w:val="32"/>
        </w:rPr>
        <w:t>万元，主要原因：受疫情影响，严格执行非必要不出境政策，进一步压减出国经费；2022年因公出国（境）费用主要用于开展国际学术交流。</w:t>
      </w:r>
    </w:p>
    <w:p>
      <w:pPr>
        <w:ind w:firstLine="555"/>
        <w:rPr>
          <w:rFonts w:ascii="仿宋_GB2312" w:eastAsia="仿宋_GB2312"/>
          <w:sz w:val="32"/>
          <w:szCs w:val="32"/>
        </w:rPr>
      </w:pPr>
      <w:r>
        <w:rPr>
          <w:rFonts w:hint="eastAsia" w:ascii="仿宋_GB2312" w:eastAsia="仿宋_GB2312"/>
          <w:sz w:val="32"/>
          <w:szCs w:val="32"/>
        </w:rPr>
        <w:t>2.公务接待费。2022年预算数</w:t>
      </w:r>
      <w:r>
        <w:rPr>
          <w:rFonts w:ascii="仿宋_GB2312" w:eastAsia="仿宋_GB2312"/>
          <w:sz w:val="32"/>
          <w:szCs w:val="32"/>
        </w:rPr>
        <w:t>0.00</w:t>
      </w:r>
      <w:r>
        <w:rPr>
          <w:rFonts w:hint="eastAsia" w:ascii="仿宋_GB2312" w:eastAsia="仿宋_GB2312"/>
          <w:sz w:val="32"/>
          <w:szCs w:val="32"/>
        </w:rPr>
        <w:t>万元，与上年持平。</w:t>
      </w:r>
    </w:p>
    <w:p>
      <w:pPr>
        <w:ind w:firstLine="600"/>
        <w:rPr>
          <w:rFonts w:ascii="楷体_GB2312" w:eastAsia="楷体_GB2312"/>
          <w:color w:val="000000"/>
          <w:sz w:val="32"/>
          <w:szCs w:val="32"/>
        </w:rPr>
      </w:pPr>
      <w:r>
        <w:rPr>
          <w:rFonts w:hint="eastAsia" w:ascii="仿宋_GB2312" w:eastAsia="仿宋_GB2312"/>
          <w:sz w:val="32"/>
          <w:szCs w:val="32"/>
        </w:rPr>
        <w:t>3.公务用车购置和运行维护费。2022年预算数</w:t>
      </w:r>
      <w:r>
        <w:rPr>
          <w:rFonts w:ascii="仿宋_GB2312" w:eastAsia="仿宋_GB2312"/>
          <w:sz w:val="32"/>
          <w:szCs w:val="32"/>
        </w:rPr>
        <w:t>31.00</w:t>
      </w:r>
      <w:r>
        <w:rPr>
          <w:rFonts w:hint="eastAsia" w:ascii="仿宋_GB2312" w:eastAsia="仿宋_GB2312"/>
          <w:sz w:val="32"/>
          <w:szCs w:val="32"/>
        </w:rPr>
        <w:t>万元，其中，公务用车购置费2022年预算数</w:t>
      </w:r>
      <w:r>
        <w:rPr>
          <w:rFonts w:ascii="仿宋_GB2312" w:eastAsia="仿宋_GB2312"/>
          <w:sz w:val="32"/>
          <w:szCs w:val="32"/>
        </w:rPr>
        <w:t>0.00</w:t>
      </w:r>
      <w:r>
        <w:rPr>
          <w:rFonts w:hint="eastAsia" w:ascii="仿宋_GB2312" w:eastAsia="仿宋_GB2312"/>
          <w:sz w:val="32"/>
          <w:szCs w:val="32"/>
        </w:rPr>
        <w:t>万元，与上年持平；公务用车运行维护费2022年预算数</w:t>
      </w:r>
      <w:r>
        <w:rPr>
          <w:rFonts w:ascii="仿宋_GB2312" w:eastAsia="仿宋_GB2312"/>
          <w:sz w:val="32"/>
          <w:szCs w:val="32"/>
        </w:rPr>
        <w:t>31.00</w:t>
      </w:r>
      <w:r>
        <w:rPr>
          <w:rFonts w:hint="eastAsia" w:ascii="仿宋_GB2312" w:eastAsia="仿宋_GB2312"/>
          <w:sz w:val="32"/>
          <w:szCs w:val="32"/>
        </w:rPr>
        <w:t>万元，其中：公务用车加油</w:t>
      </w:r>
      <w:r>
        <w:rPr>
          <w:rFonts w:ascii="仿宋_GB2312" w:eastAsia="仿宋_GB2312"/>
          <w:sz w:val="32"/>
          <w:szCs w:val="32"/>
        </w:rPr>
        <w:t>10.00</w:t>
      </w:r>
      <w:r>
        <w:rPr>
          <w:rFonts w:hint="eastAsia" w:ascii="仿宋_GB2312" w:eastAsia="仿宋_GB2312"/>
          <w:sz w:val="32"/>
          <w:szCs w:val="32"/>
        </w:rPr>
        <w:t>万元，公务用车维修</w:t>
      </w:r>
      <w:r>
        <w:rPr>
          <w:rFonts w:ascii="仿宋_GB2312" w:eastAsia="仿宋_GB2312"/>
          <w:sz w:val="32"/>
          <w:szCs w:val="32"/>
        </w:rPr>
        <w:t>15.00</w:t>
      </w:r>
      <w:r>
        <w:rPr>
          <w:rFonts w:hint="eastAsia" w:ascii="仿宋_GB2312" w:eastAsia="仿宋_GB2312"/>
          <w:sz w:val="32"/>
          <w:szCs w:val="32"/>
        </w:rPr>
        <w:t>万元，公务用车保险</w:t>
      </w:r>
      <w:r>
        <w:rPr>
          <w:rFonts w:ascii="仿宋_GB2312" w:eastAsia="仿宋_GB2312"/>
          <w:sz w:val="32"/>
          <w:szCs w:val="32"/>
        </w:rPr>
        <w:t>4.00</w:t>
      </w:r>
      <w:r>
        <w:rPr>
          <w:rFonts w:hint="eastAsia" w:ascii="仿宋_GB2312" w:eastAsia="仿宋_GB2312"/>
          <w:sz w:val="32"/>
          <w:szCs w:val="32"/>
        </w:rPr>
        <w:t>万元，其他</w:t>
      </w:r>
      <w:r>
        <w:rPr>
          <w:rFonts w:ascii="仿宋_GB2312" w:eastAsia="仿宋_GB2312"/>
          <w:sz w:val="32"/>
          <w:szCs w:val="32"/>
        </w:rPr>
        <w:t>2.00</w:t>
      </w:r>
      <w:r>
        <w:rPr>
          <w:rFonts w:hint="eastAsia" w:ascii="仿宋_GB2312" w:eastAsia="仿宋_GB2312"/>
          <w:sz w:val="32"/>
          <w:szCs w:val="32"/>
        </w:rPr>
        <w:t>万元。比2021年预算数2</w:t>
      </w:r>
      <w:r>
        <w:rPr>
          <w:rFonts w:ascii="仿宋_GB2312" w:eastAsia="仿宋_GB2312"/>
          <w:sz w:val="32"/>
          <w:szCs w:val="32"/>
        </w:rPr>
        <w:t>5.00</w:t>
      </w:r>
      <w:r>
        <w:rPr>
          <w:rFonts w:hint="eastAsia" w:ascii="仿宋_GB2312" w:eastAsia="仿宋_GB2312"/>
          <w:sz w:val="32"/>
          <w:szCs w:val="32"/>
        </w:rPr>
        <w:t>万元增加6.</w:t>
      </w:r>
      <w:r>
        <w:rPr>
          <w:rFonts w:ascii="仿宋_GB2312" w:eastAsia="仿宋_GB2312"/>
          <w:sz w:val="32"/>
          <w:szCs w:val="32"/>
        </w:rPr>
        <w:t>00</w:t>
      </w:r>
      <w:r>
        <w:rPr>
          <w:rFonts w:hint="eastAsia" w:ascii="仿宋_GB2312" w:eastAsia="仿宋_GB2312"/>
          <w:sz w:val="32"/>
          <w:szCs w:val="32"/>
        </w:rPr>
        <w:t>万元，主要原因是疫情常态化下，公务用车使用增多，公务用车运行维修维护费适当增加。</w:t>
      </w:r>
    </w:p>
    <w:p>
      <w:pPr>
        <w:spacing w:line="560" w:lineRule="exact"/>
        <w:ind w:firstLine="640" w:firstLineChars="200"/>
        <w:rPr>
          <w:rFonts w:asci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（一）政府采购预算说明</w:t>
      </w:r>
    </w:p>
    <w:p>
      <w:pPr>
        <w:ind w:firstLine="600"/>
        <w:rPr>
          <w:rFonts w:ascii="仿宋_GB2312" w:eastAsia="仿宋_GB2312"/>
          <w:color w:val="000000"/>
          <w:sz w:val="32"/>
          <w:szCs w:val="32"/>
        </w:rPr>
      </w:pPr>
      <w:r>
        <w:rPr>
          <w:rFonts w:hint="eastAsia" w:ascii="仿宋_GB2312" w:eastAsia="仿宋_GB2312"/>
          <w:sz w:val="32"/>
          <w:szCs w:val="32"/>
        </w:rPr>
        <w:t>2022年首都经济贸易大学政府采购预算总额</w:t>
      </w:r>
      <w:r>
        <w:rPr>
          <w:rFonts w:ascii="仿宋_GB2312" w:eastAsia="仿宋_GB2312"/>
          <w:sz w:val="32"/>
          <w:szCs w:val="32"/>
        </w:rPr>
        <w:t>18108.75</w:t>
      </w:r>
      <w:r>
        <w:rPr>
          <w:rFonts w:hint="eastAsia" w:ascii="仿宋_GB2312" w:eastAsia="仿宋_GB2312"/>
          <w:sz w:val="32"/>
          <w:szCs w:val="32"/>
        </w:rPr>
        <w:t>万元</w:t>
      </w:r>
      <w:r>
        <w:rPr>
          <w:rFonts w:hint="eastAsia" w:ascii="仿宋_GB2312" w:eastAsia="仿宋_GB2312"/>
          <w:color w:val="000000"/>
          <w:sz w:val="32"/>
          <w:szCs w:val="32"/>
        </w:rPr>
        <w:t>，其中：政府采购货物预算</w:t>
      </w:r>
      <w:r>
        <w:rPr>
          <w:rFonts w:ascii="仿宋_GB2312" w:eastAsia="仿宋_GB2312"/>
          <w:color w:val="000000"/>
          <w:sz w:val="32"/>
          <w:szCs w:val="32"/>
        </w:rPr>
        <w:t>2325.1</w:t>
      </w:r>
      <w:r>
        <w:rPr>
          <w:rFonts w:hint="eastAsia" w:ascii="仿宋_GB2312" w:eastAsia="仿宋_GB2312"/>
          <w:color w:val="000000"/>
          <w:sz w:val="32"/>
          <w:szCs w:val="32"/>
        </w:rPr>
        <w:t>9万元，政府采购工程预算3000.00万元，政府采购服务预算</w:t>
      </w:r>
      <w:r>
        <w:rPr>
          <w:rFonts w:ascii="仿宋_GB2312" w:eastAsia="仿宋_GB2312"/>
          <w:color w:val="000000"/>
          <w:sz w:val="32"/>
          <w:szCs w:val="32"/>
        </w:rPr>
        <w:t>12783.5</w:t>
      </w:r>
      <w:r>
        <w:rPr>
          <w:rFonts w:hint="eastAsia" w:ascii="仿宋_GB2312" w:eastAsia="仿宋_GB2312"/>
          <w:color w:val="000000"/>
          <w:sz w:val="32"/>
          <w:szCs w:val="32"/>
        </w:rPr>
        <w:t>7万元。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ind w:firstLine="600"/>
        <w:rPr>
          <w:rFonts w:ascii="仿宋_GB2312" w:eastAsia="仿宋_GB2312"/>
          <w:color w:val="000000"/>
          <w:sz w:val="32"/>
          <w:szCs w:val="32"/>
        </w:rPr>
      </w:pPr>
      <w:r>
        <w:rPr>
          <w:rFonts w:hint="eastAsia" w:ascii="仿宋_GB2312" w:eastAsia="仿宋_GB2312"/>
          <w:sz w:val="32"/>
          <w:szCs w:val="32"/>
        </w:rPr>
        <w:t>2022年本单位无政府购买服务预算。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ind w:firstLine="600"/>
        <w:rPr>
          <w:rFonts w:ascii="仿宋_GB2312" w:eastAsia="仿宋_GB2312"/>
          <w:sz w:val="32"/>
          <w:szCs w:val="32"/>
        </w:rPr>
      </w:pPr>
      <w:r>
        <w:rPr>
          <w:rFonts w:hint="eastAsia" w:ascii="仿宋_GB2312" w:eastAsia="仿宋_GB2312"/>
          <w:sz w:val="32"/>
          <w:szCs w:val="32"/>
        </w:rPr>
        <w:t>2022年，首都经济贸易大学填报绩效目标的预算项目14个，占全部预算项目14个的</w:t>
      </w:r>
      <w:r>
        <w:rPr>
          <w:rFonts w:ascii="仿宋_GB2312" w:eastAsia="仿宋_GB2312"/>
          <w:sz w:val="32"/>
          <w:szCs w:val="32"/>
        </w:rPr>
        <w:t>100</w:t>
      </w:r>
      <w:r>
        <w:rPr>
          <w:rFonts w:hint="eastAsia" w:ascii="仿宋_GB2312" w:eastAsia="仿宋_GB2312"/>
          <w:sz w:val="32"/>
          <w:szCs w:val="32"/>
        </w:rPr>
        <w:t>%。填报绩效目标的项目支出预算6898.33万元，占本部门全部项目支出预算的</w:t>
      </w:r>
      <w:r>
        <w:rPr>
          <w:rFonts w:ascii="仿宋_GB2312" w:eastAsia="仿宋_GB2312"/>
          <w:sz w:val="32"/>
          <w:szCs w:val="32"/>
        </w:rPr>
        <w:t>100</w:t>
      </w:r>
      <w:r>
        <w:rPr>
          <w:rFonts w:hint="eastAsia" w:ascii="仿宋_GB2312" w:eastAsia="仿宋_GB2312"/>
          <w:sz w:val="32"/>
          <w:szCs w:val="32"/>
        </w:rPr>
        <w:t>%。</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本单位2022年无重点行政事业性收费。</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本单位2022年无国有资本经营预算财政拨款安排的预算。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截至2021年底，首都经济贸易大学共有车辆15台，共计431.95万元；单位价值50万元以上的通用设备52台（套），共计4746.65万元，单位价值100万元以上的专用设备4台（套）、共计803.84万元。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本单位2022年无重点支出和重大投资项目。</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 xml:space="preserve"> </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2022年单位预算报表</w:t>
      </w:r>
    </w:p>
    <w:p>
      <w:pPr>
        <w:autoSpaceDE w:val="0"/>
        <w:autoSpaceDN w:val="0"/>
        <w:adjustRightInd w:val="0"/>
        <w:spacing w:line="560" w:lineRule="exact"/>
        <w:jc w:val="left"/>
        <w:rPr>
          <w:rFonts w:ascii="方正小标宋简体" w:eastAsia="方正小标宋简体"/>
          <w:color w:val="000000"/>
          <w:sz w:val="36"/>
          <w:szCs w:val="36"/>
        </w:rPr>
      </w:pPr>
      <w:r>
        <w:rPr>
          <w:rFonts w:hint="eastAsia" w:ascii="方正小标宋简体" w:eastAsia="方正小标宋简体"/>
          <w:color w:val="000000"/>
          <w:sz w:val="36"/>
          <w:szCs w:val="36"/>
        </w:rPr>
        <w:t xml:space="preserve"> </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附件：首都经济贸易大学2022年度单位预算报表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0000000000000000000"/>
    <w:charset w:val="86"/>
    <w:family w:val="script"/>
    <w:pitch w:val="default"/>
    <w:sig w:usb0="00000000" w:usb1="00000000"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yYTFhY2FhY2RjN2E2ZjE5YjM5MTEwYTMzNTI3ZmUifQ=="/>
  </w:docVars>
  <w:rsids>
    <w:rsidRoot w:val="00C5589A"/>
    <w:rsid w:val="00034CBF"/>
    <w:rsid w:val="00071FB9"/>
    <w:rsid w:val="00081305"/>
    <w:rsid w:val="000871C3"/>
    <w:rsid w:val="000E7F45"/>
    <w:rsid w:val="00103338"/>
    <w:rsid w:val="00112022"/>
    <w:rsid w:val="00174246"/>
    <w:rsid w:val="00197B65"/>
    <w:rsid w:val="00234680"/>
    <w:rsid w:val="00241192"/>
    <w:rsid w:val="00267BA8"/>
    <w:rsid w:val="002D404C"/>
    <w:rsid w:val="002E08E1"/>
    <w:rsid w:val="00304213"/>
    <w:rsid w:val="00320849"/>
    <w:rsid w:val="0043571E"/>
    <w:rsid w:val="00474BE7"/>
    <w:rsid w:val="004760BF"/>
    <w:rsid w:val="00534B93"/>
    <w:rsid w:val="00553D88"/>
    <w:rsid w:val="00555EF2"/>
    <w:rsid w:val="005775AE"/>
    <w:rsid w:val="00593E2B"/>
    <w:rsid w:val="00594E48"/>
    <w:rsid w:val="005F4B16"/>
    <w:rsid w:val="00652B55"/>
    <w:rsid w:val="006C1B7C"/>
    <w:rsid w:val="006D5B4B"/>
    <w:rsid w:val="006E3BDA"/>
    <w:rsid w:val="00700FDC"/>
    <w:rsid w:val="007172A0"/>
    <w:rsid w:val="00761A4E"/>
    <w:rsid w:val="007912F5"/>
    <w:rsid w:val="007A6FC0"/>
    <w:rsid w:val="007F0287"/>
    <w:rsid w:val="007F7716"/>
    <w:rsid w:val="00842971"/>
    <w:rsid w:val="008F33B0"/>
    <w:rsid w:val="009062B0"/>
    <w:rsid w:val="00923C4C"/>
    <w:rsid w:val="00996587"/>
    <w:rsid w:val="00AA0AE6"/>
    <w:rsid w:val="00AB06C6"/>
    <w:rsid w:val="00AD521C"/>
    <w:rsid w:val="00B96C58"/>
    <w:rsid w:val="00C24E1F"/>
    <w:rsid w:val="00C5589A"/>
    <w:rsid w:val="00C75F5C"/>
    <w:rsid w:val="00CA6207"/>
    <w:rsid w:val="00D01244"/>
    <w:rsid w:val="00D072E8"/>
    <w:rsid w:val="00D47F47"/>
    <w:rsid w:val="00D72AF7"/>
    <w:rsid w:val="00D80FD0"/>
    <w:rsid w:val="00D87191"/>
    <w:rsid w:val="00DE0E95"/>
    <w:rsid w:val="00E373C8"/>
    <w:rsid w:val="00E81DFB"/>
    <w:rsid w:val="00ED594C"/>
    <w:rsid w:val="00ED599B"/>
    <w:rsid w:val="00FC78D0"/>
    <w:rsid w:val="00FD47B0"/>
    <w:rsid w:val="0F6F44AE"/>
    <w:rsid w:val="298C14AB"/>
    <w:rsid w:val="30990304"/>
    <w:rsid w:val="634C4F2A"/>
    <w:rsid w:val="7D52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9"/>
    <w:autoRedefine/>
    <w:qFormat/>
    <w:uiPriority w:val="99"/>
    <w:pPr>
      <w:keepNext/>
      <w:keepLines/>
      <w:spacing w:before="100" w:beforeAutospacing="1" w:after="100" w:afterAutospacing="1"/>
      <w:outlineLvl w:val="1"/>
    </w:pPr>
    <w:rPr>
      <w:rFonts w:ascii="Cambria" w:hAnsi="Cambria" w:eastAsia="黑体"/>
      <w:b/>
      <w:bCs/>
      <w:kern w:val="0"/>
      <w:sz w:val="36"/>
      <w:szCs w:val="36"/>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标题 2 Char"/>
    <w:basedOn w:val="6"/>
    <w:link w:val="2"/>
    <w:autoRedefine/>
    <w:qFormat/>
    <w:uiPriority w:val="99"/>
    <w:rPr>
      <w:rFonts w:ascii="Cambria" w:hAnsi="Cambria" w:eastAsia="黑体" w:cs="Times New Roman"/>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642</Words>
  <Characters>3664</Characters>
  <Lines>30</Lines>
  <Paragraphs>8</Paragraphs>
  <TotalTime>288</TotalTime>
  <ScaleCrop>false</ScaleCrop>
  <LinksUpToDate>false</LinksUpToDate>
  <CharactersWithSpaces>4298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2022-02-11T10:58:00Z</dcterms:created>
  <dc:creator>li Katherine</dc:creator>
  <cp:lastModifiedBy>苏坡云☁️</cp:lastModifiedBy>
  <dcterms:modified xsi:type="dcterms:W3CDTF">2024-04-17T07:04:50Z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33AFEE678050441F9CD2C5A1138A754E</vt:lpwstr>
  </property>
</Properties>
</file>