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北京建筑大学2022年财政预算信息</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2022年度单位预算情况说明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二、2022年收入及支出总体情况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2022年度单位预算报表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一、收支总表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二、收入总表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三、支出总表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四、项目支出表</w:t>
      </w:r>
    </w:p>
    <w:p>
      <w:pPr>
        <w:autoSpaceDE w:val="0"/>
        <w:autoSpaceDN w:val="0"/>
        <w:adjustRightInd w:val="0"/>
        <w:spacing w:line="560" w:lineRule="exact"/>
        <w:ind w:firstLine="64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五、政府采购预算明细表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六、财政拨款收支总表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七、一般公共预算财政拨款支出表</w:t>
      </w:r>
    </w:p>
    <w:p>
      <w:pPr>
        <w:autoSpaceDE w:val="0"/>
        <w:autoSpaceDN w:val="0"/>
        <w:adjustRightInd w:val="0"/>
        <w:spacing w:line="560" w:lineRule="exact"/>
        <w:ind w:firstLine="576"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spacing w:val="-16"/>
          <w:kern w:val="0"/>
          <w:sz w:val="32"/>
          <w:szCs w:val="32"/>
        </w:rPr>
        <w:t>八、一般公共预算财政拨款基本支出表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rPr>
      </w:pPr>
      <w:r>
        <w:rPr>
          <w:rFonts w:hint="eastAsia" w:ascii="仿宋_GB2312" w:eastAsia="仿宋_GB2312" w:cs="宋体"/>
          <w:color w:val="000000"/>
          <w:kern w:val="0"/>
          <w:sz w:val="32"/>
          <w:szCs w:val="32"/>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rPr>
      </w:pPr>
      <w:r>
        <w:rPr>
          <w:rFonts w:hint="eastAsia" w:ascii="仿宋_GB2312" w:eastAsia="仿宋_GB2312" w:cs="宋体"/>
          <w:color w:val="000000"/>
          <w:spacing w:val="-16"/>
          <w:kern w:val="0"/>
          <w:sz w:val="32"/>
          <w:szCs w:val="32"/>
        </w:rPr>
        <w:t>十一、财政拨款</w:t>
      </w:r>
      <w:r>
        <w:rPr>
          <w:rFonts w:hint="eastAsia" w:ascii="仿宋_GB2312" w:eastAsia="仿宋_GB2312" w:cs="宋体"/>
          <w:color w:val="000000"/>
          <w:kern w:val="0"/>
          <w:sz w:val="32"/>
          <w:szCs w:val="32"/>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rPr>
      </w:pPr>
      <w:r>
        <w:rPr>
          <w:rFonts w:hint="eastAsia" w:ascii="仿宋_GB2312" w:eastAsia="仿宋_GB2312" w:cs="宋体"/>
          <w:color w:val="000000"/>
          <w:spacing w:val="-18"/>
          <w:kern w:val="0"/>
          <w:sz w:val="32"/>
          <w:szCs w:val="32"/>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r>
        <w:rPr>
          <w:rFonts w:hint="eastAsia" w:ascii="仿宋_GB2312" w:eastAsia="仿宋_GB2312" w:cs="宋体"/>
          <w:color w:val="000000"/>
          <w:kern w:val="0"/>
          <w:sz w:val="32"/>
          <w:szCs w:val="32"/>
        </w:rPr>
        <w:t>十三、项目支出绩效目标表</w:t>
      </w:r>
    </w:p>
    <w:p>
      <w:pPr>
        <w:pStyle w:val="2"/>
      </w:pPr>
      <w:r>
        <w:br w:type="page"/>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 xml:space="preserve"> 第一部分  2022年单位预算情况说明</w:t>
      </w:r>
    </w:p>
    <w:p>
      <w:pPr>
        <w:spacing w:line="360" w:lineRule="auto"/>
        <w:rPr>
          <w:rFonts w:ascii="仿宋_GB2312" w:eastAsia="仿宋_GB2312"/>
          <w:color w:val="000000"/>
          <w:sz w:val="32"/>
          <w:szCs w:val="32"/>
        </w:rPr>
      </w:pPr>
      <w:r>
        <w:rPr>
          <w:rFonts w:hint="eastAsia" w:ascii="仿宋_GB2312" w:eastAsia="仿宋_GB2312"/>
          <w:color w:val="000000"/>
          <w:sz w:val="32"/>
          <w:szCs w:val="32"/>
        </w:rPr>
        <w:t xml:space="preserve"> </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（一）本单位性质、职责等情况</w:t>
      </w:r>
    </w:p>
    <w:p>
      <w:pPr>
        <w:ind w:firstLine="555"/>
        <w:rPr>
          <w:rFonts w:ascii="仿宋_GB2312" w:eastAsia="仿宋_GB2312"/>
          <w:sz w:val="32"/>
          <w:szCs w:val="32"/>
        </w:rPr>
      </w:pPr>
      <w:r>
        <w:rPr>
          <w:rFonts w:ascii="仿宋_GB2312" w:eastAsia="仿宋_GB2312"/>
          <w:sz w:val="32"/>
          <w:szCs w:val="32"/>
        </w:rPr>
        <w:t>北京建筑大学为公益二类事业单位。</w:t>
      </w:r>
    </w:p>
    <w:p>
      <w:pPr>
        <w:ind w:firstLine="555"/>
      </w:pPr>
      <w:r>
        <w:rPr>
          <w:rFonts w:ascii="仿宋_GB2312" w:eastAsia="仿宋_GB2312"/>
          <w:sz w:val="32"/>
          <w:szCs w:val="32"/>
        </w:rPr>
        <w:t>北京建筑大学是北京市和住房城乡建设部共建高校、教育部“卓越工程师教育培养计划”试点高校、北京市高水平特色型大学和北京市党的建设和思想政治工作先进高校，是一所具有鲜明建筑特色、以工为主的多科性大学，是“北京城市规划、建设、管理的人才培养基地和科技服务基地”、“北京应对气候变化研究和人才培养基地”和“国家建筑遗产保护研究和人才培养基地”，是北京地区唯一一所建筑类高等学校。其宗旨和业务范围为：培养</w:t>
      </w:r>
      <w:r>
        <w:rPr>
          <w:rFonts w:hint="eastAsia" w:ascii="仿宋_GB2312" w:eastAsia="仿宋_GB2312"/>
          <w:sz w:val="32"/>
          <w:szCs w:val="32"/>
        </w:rPr>
        <w:t>工</w:t>
      </w:r>
      <w:r>
        <w:rPr>
          <w:rFonts w:ascii="仿宋_GB2312" w:eastAsia="仿宋_GB2312"/>
          <w:sz w:val="32"/>
          <w:szCs w:val="32"/>
        </w:rPr>
        <w:t>、管、理</w:t>
      </w:r>
      <w:r>
        <w:rPr>
          <w:rFonts w:hint="eastAsia" w:ascii="仿宋_GB2312" w:eastAsia="仿宋_GB2312"/>
          <w:sz w:val="32"/>
          <w:szCs w:val="32"/>
        </w:rPr>
        <w:t>、</w:t>
      </w:r>
      <w:r>
        <w:rPr>
          <w:rFonts w:ascii="仿宋_GB2312" w:eastAsia="仿宋_GB2312"/>
          <w:sz w:val="32"/>
          <w:szCs w:val="32"/>
        </w:rPr>
        <w:t>法等学科门类高等学历人才，促进科技发展，进行</w:t>
      </w:r>
      <w:r>
        <w:rPr>
          <w:rFonts w:hint="eastAsia" w:ascii="仿宋_GB2312" w:eastAsia="仿宋_GB2312"/>
          <w:sz w:val="32"/>
          <w:szCs w:val="32"/>
        </w:rPr>
        <w:t>建筑</w:t>
      </w:r>
      <w:r>
        <w:rPr>
          <w:rFonts w:ascii="仿宋_GB2312" w:eastAsia="仿宋_GB2312"/>
          <w:sz w:val="32"/>
          <w:szCs w:val="32"/>
        </w:rPr>
        <w:t>、土建、管理、机械、电气、测绘学科的本科、研究生学历教育及相关科学研究，提供继续教育、专业培训、学术交流、建筑设计、建筑监理等相关服务。</w:t>
      </w:r>
    </w:p>
    <w:p>
      <w:pPr>
        <w:numPr>
          <w:ilvl w:val="0"/>
          <w:numId w:val="1"/>
        </w:numPr>
        <w:spacing w:line="560" w:lineRule="exact"/>
        <w:ind w:firstLine="640" w:firstLineChars="200"/>
      </w:pPr>
      <w:r>
        <w:rPr>
          <w:rFonts w:hint="eastAsia" w:ascii="楷体_GB2312" w:eastAsia="楷体_GB2312"/>
          <w:color w:val="000000"/>
          <w:sz w:val="32"/>
          <w:szCs w:val="32"/>
        </w:rPr>
        <w:t>机构设置情况</w:t>
      </w:r>
    </w:p>
    <w:p>
      <w:pPr>
        <w:ind w:firstLine="555"/>
      </w:pPr>
      <w:r>
        <w:rPr>
          <w:rFonts w:hint="eastAsia" w:ascii="仿宋_GB2312" w:eastAsia="仿宋_GB2312"/>
          <w:sz w:val="32"/>
          <w:szCs w:val="32"/>
        </w:rPr>
        <w:t>北京建筑大学有职能部门22个：党政办公室、组织部、宣传部、统战部等；院系和教学单位10院1部：建筑学院、土木学院、体育部等；研究机构4个：建筑遗产研究院、海绵城市研究院、北京城市保护与更新研究院、建筑大脑研究院；教辅单位3个：网络信息管理服务中心、继续教育学院、图书馆。</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（三）人员构成情况</w:t>
      </w:r>
    </w:p>
    <w:p>
      <w:pPr>
        <w:ind w:firstLine="640" w:firstLineChars="200"/>
      </w:pPr>
      <w:r>
        <w:rPr>
          <w:rFonts w:hint="eastAsia" w:ascii="仿宋_GB2312" w:eastAsia="仿宋_GB2312"/>
          <w:sz w:val="32"/>
          <w:szCs w:val="32"/>
        </w:rPr>
        <w:t>北京建筑大学事业编制1320人，事业编制内实际人数1168人，离休17人，退休762人，学生人数11579人。</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二、</w:t>
      </w:r>
      <w:r>
        <w:rPr>
          <w:rFonts w:hint="eastAsia" w:ascii="黑体" w:eastAsia="黑体"/>
          <w:color w:val="000000"/>
          <w:sz w:val="32"/>
          <w:szCs w:val="32"/>
        </w:rPr>
        <w:t>2022年收入及支出总体情况</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（一）收入预算说明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2022年收入预算109099.03万元，比2021年</w:t>
      </w:r>
      <w:r>
        <w:rPr>
          <w:rFonts w:hint="eastAsia" w:ascii="仿宋_GB2312" w:eastAsia="仿宋_GB2312"/>
          <w:sz w:val="32"/>
          <w:szCs w:val="32"/>
        </w:rPr>
        <w:t>108507.10</w:t>
      </w:r>
      <w:r>
        <w:rPr>
          <w:rFonts w:hint="eastAsia" w:ascii="仿宋_GB2312" w:eastAsia="仿宋_GB2312"/>
          <w:color w:val="000000"/>
          <w:sz w:val="32"/>
          <w:szCs w:val="32"/>
        </w:rPr>
        <w:t>万元增加591.93万元，增长0.55%。其中：</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本年财政拨款收入67752.22万元,比2021年</w:t>
      </w:r>
      <w:r>
        <w:rPr>
          <w:rFonts w:hint="eastAsia" w:ascii="仿宋_GB2312" w:eastAsia="仿宋_GB2312" w:cs="Droid Sans"/>
          <w:sz w:val="32"/>
          <w:szCs w:val="32"/>
        </w:rPr>
        <w:t>67754.63</w:t>
      </w:r>
      <w:r>
        <w:rPr>
          <w:rFonts w:hint="eastAsia" w:ascii="仿宋_GB2312" w:eastAsia="仿宋_GB2312"/>
          <w:color w:val="000000"/>
          <w:sz w:val="32"/>
          <w:szCs w:val="32"/>
        </w:rPr>
        <w:t>万元减少2.41万元，与2021年基本持平；</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本年其他资金收入</w:t>
      </w:r>
      <w:r>
        <w:rPr>
          <w:rFonts w:hint="eastAsia" w:ascii="仿宋_GB2312" w:eastAsia="仿宋_GB2312" w:cs="Droid Sans"/>
          <w:sz w:val="32"/>
          <w:szCs w:val="32"/>
        </w:rPr>
        <w:t>17987.50</w:t>
      </w:r>
      <w:r>
        <w:rPr>
          <w:rFonts w:hint="eastAsia" w:ascii="仿宋_GB2312" w:eastAsia="仿宋_GB2312"/>
          <w:color w:val="000000"/>
          <w:sz w:val="32"/>
          <w:szCs w:val="32"/>
        </w:rPr>
        <w:t>万元,比2021年</w:t>
      </w:r>
      <w:r>
        <w:rPr>
          <w:rFonts w:hint="eastAsia" w:ascii="仿宋_GB2312" w:eastAsia="仿宋_GB2312" w:cs="Droid Sans"/>
          <w:sz w:val="32"/>
          <w:szCs w:val="32"/>
        </w:rPr>
        <w:t>16450.67</w:t>
      </w:r>
      <w:r>
        <w:rPr>
          <w:rFonts w:hint="eastAsia" w:ascii="仿宋_GB2312" w:eastAsia="仿宋_GB2312"/>
          <w:color w:val="000000"/>
          <w:sz w:val="32"/>
          <w:szCs w:val="32"/>
        </w:rPr>
        <w:t>万元增加</w:t>
      </w:r>
      <w:r>
        <w:rPr>
          <w:rFonts w:hint="eastAsia" w:ascii="仿宋_GB2312" w:eastAsia="仿宋_GB2312" w:cs="Droid Sans"/>
          <w:sz w:val="32"/>
          <w:szCs w:val="32"/>
        </w:rPr>
        <w:t>1536.83</w:t>
      </w:r>
      <w:r>
        <w:rPr>
          <w:rFonts w:hint="eastAsia" w:ascii="仿宋_GB2312" w:eastAsia="仿宋_GB2312"/>
          <w:color w:val="000000"/>
          <w:sz w:val="32"/>
          <w:szCs w:val="32"/>
        </w:rPr>
        <w:t>万元，主要为横纵向等不含专户管理的事业收入预算增加；</w:t>
      </w:r>
    </w:p>
    <w:p>
      <w:pPr>
        <w:ind w:firstLine="640" w:firstLineChars="200"/>
        <w:rPr>
          <w:rFonts w:ascii="仿宋_GB2312" w:eastAsia="仿宋_GB2312" w:cs="Droid Sans"/>
          <w:sz w:val="32"/>
          <w:szCs w:val="32"/>
        </w:rPr>
      </w:pPr>
      <w:r>
        <w:rPr>
          <w:rFonts w:hint="eastAsia" w:ascii="仿宋_GB2312" w:eastAsia="仿宋_GB2312" w:cs="Droid Sans"/>
          <w:sz w:val="32"/>
          <w:szCs w:val="32"/>
        </w:rPr>
        <w:t>上年结转结余资金23359.32万元，包括一般公共预算资金1540.68万元，单位资金</w:t>
      </w:r>
      <w:r>
        <w:rPr>
          <w:rFonts w:ascii="仿宋_GB2312" w:eastAsia="仿宋_GB2312" w:cs="Droid Sans"/>
          <w:sz w:val="32"/>
          <w:szCs w:val="32"/>
        </w:rPr>
        <w:t>21818.6</w:t>
      </w:r>
      <w:r>
        <w:rPr>
          <w:rFonts w:hint="eastAsia" w:ascii="仿宋_GB2312" w:eastAsia="仿宋_GB2312" w:cs="Droid Sans"/>
          <w:sz w:val="32"/>
          <w:szCs w:val="32"/>
        </w:rPr>
        <w:t>4万元，比2021年24301.80万元减少942.48万元，主要原因为财政专项结转资金减少。</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（二）支出情况说明</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2022年支出预算109099.03万元，比2021年</w:t>
      </w:r>
      <w:r>
        <w:rPr>
          <w:rFonts w:hint="eastAsia" w:ascii="仿宋_GB2312" w:eastAsia="仿宋_GB2312"/>
          <w:sz w:val="32"/>
          <w:szCs w:val="32"/>
        </w:rPr>
        <w:t>108507.10</w:t>
      </w:r>
      <w:r>
        <w:rPr>
          <w:rFonts w:hint="eastAsia" w:ascii="仿宋_GB2312" w:eastAsia="仿宋_GB2312"/>
          <w:color w:val="000000"/>
          <w:sz w:val="32"/>
          <w:szCs w:val="32"/>
        </w:rPr>
        <w:t>万元增加591.93万元，增长0.55%。</w:t>
      </w:r>
    </w:p>
    <w:p>
      <w:pPr>
        <w:ind w:firstLine="555"/>
        <w:rPr>
          <w:rFonts w:ascii="仿宋_GB2312" w:eastAsia="仿宋_GB2312"/>
          <w:color w:val="000000"/>
          <w:sz w:val="32"/>
          <w:szCs w:val="32"/>
        </w:rPr>
      </w:pPr>
      <w:r>
        <w:rPr>
          <w:rFonts w:hint="eastAsia" w:ascii="仿宋_GB2312" w:eastAsia="仿宋_GB2312"/>
          <w:color w:val="000000"/>
          <w:sz w:val="32"/>
          <w:szCs w:val="32"/>
        </w:rPr>
        <w:t>基本支出预算101625.08万元，占总支出预算93.15%，比2021年</w:t>
      </w:r>
      <w:r>
        <w:rPr>
          <w:rFonts w:hint="eastAsia" w:ascii="仿宋_GB2312" w:eastAsia="仿宋_GB2312"/>
          <w:sz w:val="32"/>
          <w:szCs w:val="32"/>
        </w:rPr>
        <w:t>98428.05</w:t>
      </w:r>
      <w:r>
        <w:rPr>
          <w:rFonts w:hint="eastAsia" w:ascii="仿宋_GB2312" w:eastAsia="仿宋_GB2312"/>
          <w:color w:val="000000"/>
          <w:sz w:val="32"/>
          <w:szCs w:val="32"/>
        </w:rPr>
        <w:t>万元增加</w:t>
      </w:r>
      <w:r>
        <w:rPr>
          <w:rFonts w:ascii="仿宋_GB2312" w:eastAsia="仿宋_GB2312"/>
          <w:sz w:val="32"/>
          <w:szCs w:val="32"/>
        </w:rPr>
        <w:t>3197.03</w:t>
      </w:r>
      <w:r>
        <w:rPr>
          <w:rFonts w:hint="eastAsia" w:ascii="仿宋_GB2312" w:eastAsia="仿宋_GB2312"/>
          <w:sz w:val="32"/>
          <w:szCs w:val="32"/>
        </w:rPr>
        <w:t>万元，增长3.25%</w:t>
      </w:r>
      <w:r>
        <w:rPr>
          <w:rFonts w:hint="eastAsia" w:ascii="仿宋_GB2312" w:eastAsia="仿宋_GB2312"/>
          <w:color w:val="000000"/>
          <w:sz w:val="32"/>
          <w:szCs w:val="32"/>
        </w:rPr>
        <w:t>，变动主要原因为横纵向等事业支出增加。项目支出预算</w:t>
      </w:r>
      <w:r>
        <w:rPr>
          <w:rFonts w:ascii="仿宋_GB2312" w:eastAsia="仿宋_GB2312"/>
          <w:color w:val="000000"/>
          <w:sz w:val="32"/>
          <w:szCs w:val="32"/>
        </w:rPr>
        <w:t>7473.9</w:t>
      </w:r>
      <w:r>
        <w:rPr>
          <w:rFonts w:hint="eastAsia" w:ascii="仿宋_GB2312" w:eastAsia="仿宋_GB2312"/>
          <w:color w:val="000000"/>
          <w:sz w:val="32"/>
          <w:szCs w:val="32"/>
        </w:rPr>
        <w:t>6万元，占总支出预算6.85%，比2021年10079.05万元减少2605.09万元，下降25.85%，减少原因为消化往年结余结转项目经费比例较大。其中：</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1.事业单位经营支出0万元。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2.上缴上级支出0万元。</w:t>
      </w:r>
    </w:p>
    <w:p>
      <w:pPr>
        <w:spacing w:line="560" w:lineRule="exact"/>
        <w:ind w:firstLine="640"/>
        <w:rPr>
          <w:rFonts w:ascii="仿宋_GB2312" w:eastAsia="仿宋_GB2312"/>
          <w:color w:val="000000"/>
          <w:sz w:val="32"/>
          <w:szCs w:val="32"/>
        </w:rPr>
      </w:pPr>
      <w:r>
        <w:rPr>
          <w:rFonts w:hint="eastAsia" w:ascii="仿宋_GB2312" w:eastAsia="仿宋_GB2312"/>
          <w:color w:val="000000"/>
          <w:sz w:val="32"/>
          <w:szCs w:val="32"/>
        </w:rPr>
        <w:t>3.对附属单位补助支出0万元。</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项目支出主要用于教师队伍建设、人才培养质量建设、科技创新服务能力建设、改善办学保障条件、体育卫生与艺术教育、国际合作与交流、学生资助等。</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四、单位</w:t>
      </w:r>
      <w:r>
        <w:rPr>
          <w:rFonts w:hint="eastAsia" w:ascii="黑体" w:eastAsia="黑体"/>
          <w:color w:val="000000"/>
          <w:sz w:val="32"/>
          <w:szCs w:val="32"/>
        </w:rPr>
        <w:t>“三公”经费财政拨款预算说明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（一）“三公”经费的单位范围</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北京建筑大学因公出国（境）费用、公务接待费、公务用车购置和运行维护费开支单位包括1个单位。</w:t>
      </w:r>
      <w:bookmarkStart w:id="0" w:name="_GoBack"/>
      <w:bookmarkEnd w:id="0"/>
    </w:p>
    <w:p>
      <w:pPr>
        <w:numPr>
          <w:ilvl w:val="0"/>
          <w:numId w:val="1"/>
        </w:num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“三公”经费预算财政拨款情况说明</w:t>
      </w:r>
    </w:p>
    <w:p>
      <w:pPr>
        <w:ind w:firstLine="555"/>
        <w:rPr>
          <w:rFonts w:ascii="仿宋_GB2312" w:eastAsia="仿宋_GB2312"/>
          <w:sz w:val="32"/>
          <w:szCs w:val="32"/>
        </w:rPr>
      </w:pPr>
      <w:r>
        <w:rPr>
          <w:rFonts w:hint="eastAsia" w:ascii="仿宋_GB2312" w:eastAsia="仿宋_GB2312"/>
          <w:sz w:val="32"/>
          <w:szCs w:val="32"/>
        </w:rPr>
        <w:t>2022年“三公”经费财政拨款预算1</w:t>
      </w:r>
      <w:r>
        <w:rPr>
          <w:rFonts w:ascii="仿宋_GB2312" w:eastAsia="仿宋_GB2312"/>
          <w:sz w:val="32"/>
          <w:szCs w:val="32"/>
        </w:rPr>
        <w:t>57</w:t>
      </w:r>
      <w:r>
        <w:rPr>
          <w:rFonts w:hint="eastAsia" w:ascii="仿宋_GB2312" w:eastAsia="仿宋_GB2312"/>
          <w:sz w:val="32"/>
          <w:szCs w:val="32"/>
        </w:rPr>
        <w:t>.</w:t>
      </w:r>
      <w:r>
        <w:rPr>
          <w:rFonts w:ascii="仿宋_GB2312" w:eastAsia="仿宋_GB2312"/>
          <w:sz w:val="32"/>
          <w:szCs w:val="32"/>
        </w:rPr>
        <w:t>6</w:t>
      </w:r>
      <w:r>
        <w:rPr>
          <w:rFonts w:hint="eastAsia" w:ascii="仿宋_GB2312" w:eastAsia="仿宋_GB2312"/>
          <w:sz w:val="32"/>
          <w:szCs w:val="32"/>
        </w:rPr>
        <w:t>0万元，比2021年“三公”经费财政拨款预算增加44.10万元。其中：</w:t>
      </w:r>
    </w:p>
    <w:p>
      <w:pPr>
        <w:ind w:firstLine="555"/>
        <w:rPr>
          <w:rFonts w:ascii="仿宋_GB2312" w:eastAsia="仿宋_GB2312"/>
          <w:sz w:val="32"/>
          <w:szCs w:val="32"/>
        </w:rPr>
      </w:pPr>
      <w:r>
        <w:rPr>
          <w:rFonts w:hint="eastAsia" w:ascii="仿宋_GB2312" w:eastAsia="仿宋_GB2312"/>
          <w:sz w:val="32"/>
          <w:szCs w:val="32"/>
        </w:rPr>
        <w:t>1.因公出国（境）费用。2022年预算数69.76万元，</w:t>
      </w:r>
      <w:r>
        <w:rPr>
          <w:rFonts w:hint="eastAsia" w:ascii="仿宋_GB2312" w:eastAsia="仿宋_GB2312"/>
          <w:color w:val="000000"/>
          <w:sz w:val="32"/>
          <w:szCs w:val="32"/>
        </w:rPr>
        <w:t>比2021年预算数</w:t>
      </w:r>
      <w:r>
        <w:rPr>
          <w:rFonts w:hint="eastAsia" w:ascii="仿宋_GB2312" w:eastAsia="仿宋_GB2312"/>
          <w:sz w:val="32"/>
          <w:szCs w:val="32"/>
        </w:rPr>
        <w:t>69.76</w:t>
      </w:r>
      <w:r>
        <w:rPr>
          <w:rFonts w:hint="eastAsia" w:ascii="仿宋_GB2312" w:eastAsia="仿宋_GB2312"/>
          <w:color w:val="000000"/>
          <w:sz w:val="32"/>
          <w:szCs w:val="32"/>
        </w:rPr>
        <w:t>万元增加0万元</w:t>
      </w:r>
      <w:r>
        <w:rPr>
          <w:rFonts w:hint="eastAsia" w:ascii="仿宋_GB2312" w:eastAsia="仿宋_GB2312"/>
          <w:sz w:val="32"/>
          <w:szCs w:val="32"/>
        </w:rPr>
        <w:t>；2022年因公出国（境）费用主要用于教师进修访学、校际访问交流和国际竞赛等方面。</w:t>
      </w:r>
    </w:p>
    <w:p>
      <w:pPr>
        <w:ind w:firstLine="555"/>
        <w:rPr>
          <w:rFonts w:ascii="仿宋_GB2312" w:eastAsia="仿宋_GB2312"/>
          <w:sz w:val="32"/>
          <w:szCs w:val="32"/>
        </w:rPr>
      </w:pPr>
      <w:r>
        <w:rPr>
          <w:rFonts w:hint="eastAsia" w:ascii="仿宋_GB2312" w:eastAsia="仿宋_GB2312"/>
          <w:sz w:val="32"/>
          <w:szCs w:val="32"/>
        </w:rPr>
        <w:t>2.公务接待费。2022年预算数11.24万元，</w:t>
      </w:r>
      <w:r>
        <w:rPr>
          <w:rFonts w:hint="eastAsia" w:ascii="仿宋_GB2312" w:eastAsia="仿宋_GB2312"/>
          <w:color w:val="000000"/>
          <w:sz w:val="32"/>
          <w:szCs w:val="32"/>
        </w:rPr>
        <w:t>比2021年预算数</w:t>
      </w:r>
      <w:r>
        <w:rPr>
          <w:rFonts w:hint="eastAsia" w:ascii="仿宋_GB2312" w:eastAsia="仿宋_GB2312"/>
          <w:sz w:val="32"/>
          <w:szCs w:val="32"/>
        </w:rPr>
        <w:t>11.24</w:t>
      </w:r>
      <w:r>
        <w:rPr>
          <w:rFonts w:hint="eastAsia" w:ascii="仿宋_GB2312" w:eastAsia="仿宋_GB2312"/>
          <w:color w:val="000000"/>
          <w:sz w:val="32"/>
          <w:szCs w:val="32"/>
        </w:rPr>
        <w:t>万元增加0万元</w:t>
      </w:r>
      <w:r>
        <w:rPr>
          <w:rFonts w:hint="eastAsia" w:ascii="仿宋_GB2312" w:eastAsia="仿宋_GB2312"/>
          <w:sz w:val="32"/>
          <w:szCs w:val="32"/>
        </w:rPr>
        <w:t>。2022年公务接待费主要用于日常公务接待和外事接待支出等方面。</w:t>
      </w:r>
    </w:p>
    <w:p>
      <w:pPr>
        <w:ind w:firstLine="555"/>
        <w:rPr>
          <w:rFonts w:ascii="仿宋_GB2312" w:eastAsia="仿宋_GB2312"/>
          <w:sz w:val="32"/>
          <w:szCs w:val="32"/>
        </w:rPr>
      </w:pPr>
      <w:r>
        <w:rPr>
          <w:rFonts w:hint="eastAsia" w:ascii="仿宋_GB2312" w:eastAsia="仿宋_GB2312"/>
          <w:sz w:val="32"/>
          <w:szCs w:val="32"/>
        </w:rPr>
        <w:t>3. 公务用车购置和运行维护费。2022年预算数</w:t>
      </w:r>
      <w:r>
        <w:rPr>
          <w:rFonts w:ascii="仿宋_GB2312" w:eastAsia="仿宋_GB2312"/>
          <w:sz w:val="32"/>
          <w:szCs w:val="32"/>
        </w:rPr>
        <w:t>76.60</w:t>
      </w:r>
      <w:r>
        <w:rPr>
          <w:rFonts w:hint="eastAsia" w:ascii="仿宋_GB2312" w:eastAsia="仿宋_GB2312"/>
          <w:sz w:val="32"/>
          <w:szCs w:val="32"/>
        </w:rPr>
        <w:t>元，其中，公务用车购置费2022年预算数</w:t>
      </w:r>
      <w:r>
        <w:rPr>
          <w:rFonts w:ascii="仿宋_GB2312" w:eastAsia="仿宋_GB2312"/>
          <w:sz w:val="32"/>
          <w:szCs w:val="32"/>
        </w:rPr>
        <w:t>48.97</w:t>
      </w:r>
      <w:r>
        <w:rPr>
          <w:rFonts w:hint="eastAsia" w:ascii="仿宋_GB2312" w:eastAsia="仿宋_GB2312"/>
          <w:sz w:val="32"/>
          <w:szCs w:val="32"/>
        </w:rPr>
        <w:t>万元，比上年增长48.97万元，为购置</w:t>
      </w:r>
      <w:r>
        <w:rPr>
          <w:rFonts w:ascii="仿宋_GB2312" w:eastAsia="仿宋_GB2312"/>
          <w:sz w:val="32"/>
          <w:szCs w:val="32"/>
        </w:rPr>
        <w:t>一辆</w:t>
      </w:r>
      <w:r>
        <w:rPr>
          <w:rFonts w:hint="eastAsia" w:ascii="仿宋_GB2312" w:eastAsia="仿宋_GB2312"/>
          <w:sz w:val="32"/>
          <w:szCs w:val="32"/>
        </w:rPr>
        <w:t>11米柴油国六大型客</w:t>
      </w:r>
      <w:r>
        <w:rPr>
          <w:rFonts w:ascii="仿宋_GB2312" w:eastAsia="仿宋_GB2312"/>
          <w:sz w:val="32"/>
          <w:szCs w:val="32"/>
        </w:rPr>
        <w:t>车</w:t>
      </w:r>
      <w:r>
        <w:rPr>
          <w:rFonts w:hint="eastAsia" w:ascii="仿宋_GB2312" w:eastAsia="仿宋_GB2312"/>
          <w:sz w:val="32"/>
          <w:szCs w:val="32"/>
        </w:rPr>
        <w:t>；公务用车运行维护费2022年预算数</w:t>
      </w:r>
      <w:r>
        <w:rPr>
          <w:rFonts w:ascii="仿宋_GB2312" w:eastAsia="仿宋_GB2312"/>
          <w:sz w:val="32"/>
          <w:szCs w:val="32"/>
        </w:rPr>
        <w:t>27.63</w:t>
      </w:r>
      <w:r>
        <w:rPr>
          <w:rFonts w:hint="eastAsia" w:ascii="仿宋_GB2312" w:eastAsia="仿宋_GB2312"/>
          <w:sz w:val="32"/>
          <w:szCs w:val="32"/>
        </w:rPr>
        <w:t>万元，其中：公务用车加油</w:t>
      </w:r>
      <w:r>
        <w:rPr>
          <w:rFonts w:ascii="仿宋_GB2312" w:eastAsia="仿宋_GB2312"/>
          <w:sz w:val="32"/>
          <w:szCs w:val="32"/>
        </w:rPr>
        <w:t>12.03</w:t>
      </w:r>
      <w:r>
        <w:rPr>
          <w:rFonts w:hint="eastAsia" w:ascii="仿宋_GB2312" w:eastAsia="仿宋_GB2312"/>
          <w:sz w:val="32"/>
          <w:szCs w:val="32"/>
        </w:rPr>
        <w:t>万元，公务用车维修7.8万元，公务用车保险3.9万元，其他3.9万元。比上年预算数32.5万元减少4.87万元，主要原因为大力压减公务用车运行维护费。</w:t>
      </w:r>
    </w:p>
    <w:p>
      <w:pPr>
        <w:spacing w:line="560" w:lineRule="exact"/>
        <w:ind w:firstLine="640" w:firstLineChars="200"/>
        <w:rPr>
          <w:rFonts w:asci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2022年北京建筑大学政府采购预算总额</w:t>
      </w:r>
      <w:r>
        <w:rPr>
          <w:rFonts w:hint="eastAsia" w:ascii="仿宋_GB2312" w:eastAsia="仿宋_GB2312"/>
          <w:sz w:val="32"/>
          <w:szCs w:val="32"/>
        </w:rPr>
        <w:t>14962.22</w:t>
      </w:r>
      <w:r>
        <w:rPr>
          <w:rFonts w:hint="eastAsia" w:ascii="仿宋_GB2312" w:eastAsia="仿宋_GB2312"/>
          <w:color w:val="000000"/>
          <w:sz w:val="32"/>
          <w:szCs w:val="32"/>
        </w:rPr>
        <w:t>万元，其中：政府采购货物预算7892.67万元，政府采购工程预算19.50万元，政府采购服务预算7050.05万元。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2022年北京建筑大学政府购买服务预算总额0万元。</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我单位不在机关运行经费统计范围之内。</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2022年，北京建筑大学填报绩效目标的预算项目16个，占本单位全部预算项目16个的100%。填报绩效目标的项目支出预算</w:t>
      </w:r>
      <w:r>
        <w:rPr>
          <w:rFonts w:ascii="仿宋_GB2312" w:eastAsia="仿宋_GB2312"/>
          <w:color w:val="000000"/>
          <w:sz w:val="32"/>
          <w:szCs w:val="32"/>
        </w:rPr>
        <w:t>5933.2</w:t>
      </w:r>
      <w:r>
        <w:rPr>
          <w:rFonts w:hint="eastAsia" w:ascii="仿宋_GB2312" w:eastAsia="仿宋_GB2312"/>
          <w:color w:val="000000"/>
          <w:sz w:val="32"/>
          <w:szCs w:val="32"/>
        </w:rPr>
        <w:t>8万元，占本单位年初全部项目支出预算的100%。</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本单位2022年无重点行政事业性收费。</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本单位2022年无国有资本经营预算财政拨款安排的预算。</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截至2021年底，北京建筑大学共有车辆25台，共计738.26万元；单位价值50万元以上的通用设备169台（套），共计21908.99万元，单位价值100万元以上的专用设备16台（套）、共计2574.68万元。</w:t>
      </w:r>
    </w:p>
    <w:p>
      <w:pPr>
        <w:numPr>
          <w:ilvl w:val="0"/>
          <w:numId w:val="2"/>
        </w:num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名词解释</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2022年单位预算报表</w:t>
      </w:r>
    </w:p>
    <w:p>
      <w:pPr>
        <w:autoSpaceDE w:val="0"/>
        <w:autoSpaceDN w:val="0"/>
        <w:adjustRightInd w:val="0"/>
        <w:spacing w:line="560" w:lineRule="exact"/>
        <w:jc w:val="left"/>
        <w:rPr>
          <w:rFonts w:ascii="方正小标宋简体" w:eastAsia="方正小标宋简体"/>
          <w:color w:val="000000"/>
          <w:sz w:val="36"/>
          <w:szCs w:val="36"/>
        </w:rPr>
      </w:pPr>
      <w:r>
        <w:rPr>
          <w:rFonts w:hint="eastAsia" w:ascii="方正小标宋简体" w:eastAsia="方正小标宋简体"/>
          <w:color w:val="000000"/>
          <w:sz w:val="36"/>
          <w:szCs w:val="36"/>
        </w:rPr>
        <w:t xml:space="preserve"> </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附件：北京建筑大学2022年度单位预算报表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EF706F"/>
    <w:multiLevelType w:val="singleLevel"/>
    <w:tmpl w:val="89EF706F"/>
    <w:lvl w:ilvl="0" w:tentative="0">
      <w:start w:val="2"/>
      <w:numFmt w:val="chineseCounting"/>
      <w:suff w:val="nothing"/>
      <w:lvlText w:val="（%1）"/>
      <w:lvlJc w:val="left"/>
      <w:rPr>
        <w:rFonts w:hint="eastAsia"/>
      </w:rPr>
    </w:lvl>
  </w:abstractNum>
  <w:abstractNum w:abstractNumId="1">
    <w:nsid w:val="8CF16C65"/>
    <w:multiLevelType w:val="singleLevel"/>
    <w:tmpl w:val="8CF16C65"/>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89A"/>
    <w:rsid w:val="00034CBF"/>
    <w:rsid w:val="000871C3"/>
    <w:rsid w:val="000A5202"/>
    <w:rsid w:val="001C4FA8"/>
    <w:rsid w:val="001F6858"/>
    <w:rsid w:val="00455998"/>
    <w:rsid w:val="004760BF"/>
    <w:rsid w:val="00556102"/>
    <w:rsid w:val="00593E2B"/>
    <w:rsid w:val="00652B55"/>
    <w:rsid w:val="006E3BDA"/>
    <w:rsid w:val="00723A8B"/>
    <w:rsid w:val="008B4231"/>
    <w:rsid w:val="00AC2673"/>
    <w:rsid w:val="00C5589A"/>
    <w:rsid w:val="00D072E8"/>
    <w:rsid w:val="00D16B3D"/>
    <w:rsid w:val="00EF1B55"/>
    <w:rsid w:val="00F61184"/>
    <w:rsid w:val="00F72A37"/>
    <w:rsid w:val="00FB2872"/>
    <w:rsid w:val="015170E3"/>
    <w:rsid w:val="0F6F44AE"/>
    <w:rsid w:val="29EF7115"/>
    <w:rsid w:val="2A29172C"/>
    <w:rsid w:val="381B3345"/>
    <w:rsid w:val="3B9D2498"/>
    <w:rsid w:val="40BA0E4F"/>
    <w:rsid w:val="42166955"/>
    <w:rsid w:val="49CF31D8"/>
    <w:rsid w:val="4F2063A5"/>
    <w:rsid w:val="597C2938"/>
    <w:rsid w:val="59C60179"/>
    <w:rsid w:val="5F9C5FD4"/>
    <w:rsid w:val="671A34FE"/>
    <w:rsid w:val="746F218D"/>
    <w:rsid w:val="77876F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9"/>
    <w:qFormat/>
    <w:uiPriority w:val="99"/>
    <w:pPr>
      <w:keepNext/>
      <w:keepLines/>
      <w:spacing w:before="100" w:beforeAutospacing="1" w:after="100" w:afterAutospacing="1"/>
      <w:outlineLvl w:val="1"/>
    </w:pPr>
    <w:rPr>
      <w:rFonts w:ascii="Cambria" w:hAnsi="Cambria" w:eastAsia="黑体"/>
      <w:b/>
      <w:bCs/>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标题 2 Char"/>
    <w:basedOn w:val="6"/>
    <w:link w:val="2"/>
    <w:qFormat/>
    <w:uiPriority w:val="99"/>
    <w:rPr>
      <w:rFonts w:ascii="Cambria" w:hAnsi="Cambria" w:eastAsia="黑体" w:cs="Times New Roman"/>
      <w:b/>
      <w:bCs/>
      <w:kern w:val="0"/>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Company>
  <Pages>8</Pages>
  <Words>428</Words>
  <Characters>2446</Characters>
  <Lines>20</Lines>
  <Paragraphs>5</Paragraphs>
  <TotalTime>33</TotalTime>
  <ScaleCrop>false</ScaleCrop>
  <LinksUpToDate>false</LinksUpToDate>
  <CharactersWithSpaces>2869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2022-02-11T10:58:00Z</dcterms:created>
  <dc:creator>li Katherine</dc:creator>
  <cp:lastModifiedBy>天氣晴</cp:lastModifiedBy>
  <dcterms:modified xsi:type="dcterms:W3CDTF">2022-02-23T07:39:47Z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D5FEBA8FC2A24A898F04A68B36DD03B8</vt:lpwstr>
  </property>
</Properties>
</file>