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北京舞蹈学院2022年财政预算信息公开</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pPr>
      <w:r>
        <w:rPr>
          <w:rFonts w:hint="eastAsia" w:ascii="仿宋_GB2312" w:eastAsia="仿宋_GB2312" w:cs="宋体"/>
          <w:color w:val="000000"/>
          <w:kern w:val="0"/>
          <w:sz w:val="32"/>
          <w:szCs w:val="32"/>
        </w:rPr>
        <w:t>十三、项目支出绩效目标表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640" w:firstLineChars="200"/>
        <w:rPr>
          <w:rFonts w:ascii="仿宋_GB2312" w:eastAsia="仿宋_GB2312" w:cs="Droid Sans"/>
          <w:sz w:val="32"/>
          <w:szCs w:val="32"/>
        </w:rPr>
      </w:pPr>
      <w:r>
        <w:rPr>
          <w:rFonts w:hint="eastAsia" w:ascii="仿宋_GB2312" w:eastAsia="仿宋_GB2312" w:cs="Droid Sans"/>
          <w:sz w:val="32"/>
          <w:szCs w:val="32"/>
        </w:rPr>
        <w:t>北京舞蹈学院为公益二类事业单位。</w:t>
      </w:r>
    </w:p>
    <w:p>
      <w:pPr>
        <w:ind w:firstLine="640" w:firstLineChars="200"/>
        <w:rPr>
          <w:rFonts w:ascii="仿宋_GB2312" w:eastAsia="仿宋_GB2312" w:cs="Droid Sans"/>
          <w:sz w:val="32"/>
          <w:szCs w:val="32"/>
        </w:rPr>
      </w:pPr>
      <w:r>
        <w:rPr>
          <w:rFonts w:hint="eastAsia" w:ascii="仿宋_GB2312" w:eastAsia="仿宋_GB2312" w:cs="Droid Sans"/>
          <w:sz w:val="32"/>
          <w:szCs w:val="32"/>
        </w:rPr>
        <w:t>北京舞蹈学院是一所以高素质舞蹈人才培养、高水平舞蹈理论研究和作品创作为主要任务的全日制普通高等学校。认真贯彻党的教育方针和文艺方针，以“遵道崇德，天地人和；文舞相融，德艺双馨”的校训为引领，以“坚持高层次的文化追求、坚持高质量的人才培养、坚持高水平的普及教育”为工作目标，以引领和推动中国舞蹈教育事业改革与发展为己任，坚持立德树人，全面履行人才培养、科学研究、社会服务、文化传承与创新、国际交流合作等重要职能，努力建设中国特色世界一流舞蹈大学。</w:t>
      </w:r>
    </w:p>
    <w:p>
      <w:pPr>
        <w:ind w:firstLine="640" w:firstLineChars="200"/>
        <w:rPr>
          <w:rFonts w:ascii="仿宋_GB2312" w:eastAsia="仿宋_GB2312" w:cs="Droid Sans"/>
          <w:sz w:val="32"/>
          <w:szCs w:val="32"/>
        </w:rPr>
      </w:pPr>
      <w:r>
        <w:rPr>
          <w:rFonts w:hint="eastAsia" w:ascii="仿宋_GB2312" w:eastAsia="仿宋_GB2312" w:cs="Droid Sans"/>
          <w:sz w:val="32"/>
          <w:szCs w:val="32"/>
        </w:rPr>
        <w:t>办学类型：高水平特色型舞蹈艺术大学</w:t>
      </w:r>
    </w:p>
    <w:p>
      <w:pPr>
        <w:ind w:firstLine="640" w:firstLineChars="200"/>
        <w:rPr>
          <w:rFonts w:ascii="仿宋_GB2312" w:eastAsia="仿宋_GB2312" w:cs="Droid Sans"/>
          <w:sz w:val="32"/>
          <w:szCs w:val="32"/>
        </w:rPr>
      </w:pPr>
      <w:r>
        <w:rPr>
          <w:rFonts w:hint="eastAsia" w:ascii="仿宋_GB2312" w:eastAsia="仿宋_GB2312" w:cs="Droid Sans"/>
          <w:sz w:val="32"/>
          <w:szCs w:val="32"/>
        </w:rPr>
        <w:t>人才培养目标定位：扩大舞蹈表演人才培养领先优势，重点培养舞蹈表演、编创精英人才和舞蹈教育、研究、管理高端人才。</w:t>
      </w:r>
    </w:p>
    <w:p>
      <w:pPr>
        <w:ind w:firstLine="640" w:firstLineChars="200"/>
        <w:rPr>
          <w:rFonts w:ascii="仿宋_GB2312" w:eastAsia="仿宋_GB2312" w:cs="Droid Sans"/>
          <w:sz w:val="32"/>
          <w:szCs w:val="32"/>
        </w:rPr>
      </w:pPr>
      <w:r>
        <w:rPr>
          <w:rFonts w:hint="eastAsia" w:ascii="仿宋_GB2312" w:eastAsia="仿宋_GB2312" w:cs="Droid Sans"/>
          <w:sz w:val="32"/>
          <w:szCs w:val="32"/>
        </w:rPr>
        <w:t>服务定位：立足首都，服务全国，面向世界，为国家和首都经济社会发展服务。</w:t>
      </w:r>
    </w:p>
    <w:p>
      <w:pPr>
        <w:ind w:firstLine="640" w:firstLineChars="200"/>
        <w:rPr>
          <w:rFonts w:ascii="仿宋_GB2312" w:eastAsia="仿宋_GB2312" w:cs="Droid Sans"/>
          <w:sz w:val="32"/>
          <w:szCs w:val="32"/>
        </w:rPr>
      </w:pPr>
      <w:r>
        <w:rPr>
          <w:rFonts w:hint="eastAsia" w:ascii="仿宋_GB2312" w:eastAsia="仿宋_GB2312" w:cs="Droid Sans"/>
          <w:sz w:val="32"/>
          <w:szCs w:val="32"/>
        </w:rPr>
        <w:t>发展定位：舞蹈高端人才培养中心、舞蹈作品研创中心、舞蹈学术研究中心、舞蹈文化传承创新中心、舞蹈数字教育中心、舞蹈艺术教育智库。</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ind w:firstLine="555"/>
        <w:rPr>
          <w:rFonts w:ascii="仿宋_GB2312" w:eastAsia="仿宋_GB2312" w:cs="Droid Sans"/>
          <w:sz w:val="32"/>
          <w:szCs w:val="32"/>
        </w:rPr>
      </w:pPr>
      <w:r>
        <w:rPr>
          <w:rFonts w:hint="eastAsia" w:ascii="仿宋_GB2312" w:eastAsia="仿宋_GB2312" w:cs="Droid Sans"/>
          <w:sz w:val="32"/>
          <w:szCs w:val="32"/>
        </w:rPr>
        <w:t>北京舞蹈学院下设党政部门、教辅群团机构23个，分别为：党院办公室（主体办、巡察办）、党委组织部（统战部、党校）、党委宣传部（新闻中心）、纪检监察综合办公室、党委教师工作部（人事处）、党委学生工作部（学生处、武装部）、党委研究生工作部（研究生处、学科办）、党委保卫部（处）、党委离退休工作部（离退休工作办公室）、工会、教务处、教学实践中心、科研处、学报编辑部、国际合作与交流处（港澳台办公室）、国有资产管理处、财务处、审计处、后勤基建处、舞蹈考级院、网络信息中心（学校网信办）、青年舞团、图书馆。</w:t>
      </w:r>
    </w:p>
    <w:p>
      <w:pPr>
        <w:ind w:firstLine="555"/>
      </w:pPr>
      <w:r>
        <w:rPr>
          <w:rFonts w:hint="eastAsia" w:ascii="仿宋_GB2312" w:eastAsia="仿宋_GB2312" w:cs="Droid Sans"/>
          <w:sz w:val="32"/>
          <w:szCs w:val="32"/>
        </w:rPr>
        <w:t>下设教学单位11个，分别为：中国古典舞系、中国民族民间舞系、芭蕾舞系、国际标准舞系、音乐剧系、创意学院、人文学院、教育学院、思想政治理论课教研部、继续教育学院、附中。</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640" w:firstLineChars="200"/>
        <w:rPr>
          <w:rFonts w:ascii="仿宋_GB2312" w:eastAsia="仿宋_GB2312" w:cs="Droid Sans"/>
          <w:sz w:val="32"/>
          <w:szCs w:val="32"/>
        </w:rPr>
      </w:pPr>
      <w:r>
        <w:rPr>
          <w:rFonts w:hint="eastAsia" w:ascii="仿宋_GB2312" w:eastAsia="仿宋_GB2312" w:cs="Droid Sans"/>
          <w:sz w:val="32"/>
          <w:szCs w:val="32"/>
        </w:rPr>
        <w:t>北京舞蹈学院事业编制620人，实际581人；聘用人员1人。离退休人员342人，其中：离休12人，退休330人。</w:t>
      </w:r>
    </w:p>
    <w:p>
      <w:pPr>
        <w:ind w:firstLine="640" w:firstLineChars="200"/>
        <w:rPr>
          <w:rFonts w:eastAsia="仿宋_GB2312"/>
        </w:rPr>
      </w:pPr>
      <w:r>
        <w:rPr>
          <w:rFonts w:hint="eastAsia" w:ascii="仿宋_GB2312" w:eastAsia="仿宋_GB2312" w:cs="Droid Sans"/>
          <w:sz w:val="32"/>
          <w:szCs w:val="32"/>
        </w:rPr>
        <w:t>学生人数2424人，其中本科生1402人，硕士研究生199人，附中学生823人。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2022年收入预算58754.22万元，比2021年59344.46万元减少590.24万元，减少0.99%。其中：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本年财政拨款收入28571.98万元,比2021年29017.69万元减少445.71万元,减少原因</w:t>
      </w:r>
      <w:r>
        <w:rPr>
          <w:rFonts w:ascii="仿宋_GB2312" w:eastAsia="仿宋_GB2312"/>
          <w:color w:val="000000"/>
          <w:sz w:val="32"/>
          <w:szCs w:val="32"/>
        </w:rPr>
        <w:t>主要是</w:t>
      </w:r>
      <w:r>
        <w:rPr>
          <w:rFonts w:hint="eastAsia" w:ascii="仿宋_GB2312" w:eastAsia="仿宋_GB2312"/>
          <w:color w:val="000000"/>
          <w:sz w:val="32"/>
          <w:szCs w:val="32"/>
        </w:rPr>
        <w:t>压缩一般性开支，财政拨款收入减少；</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本年其他资金收入21785.00万元,比2021年</w:t>
      </w:r>
      <w:r>
        <w:rPr>
          <w:rFonts w:hint="eastAsia" w:ascii="仿宋_GB2312" w:eastAsia="仿宋_GB2312"/>
          <w:sz w:val="32"/>
          <w:szCs w:val="32"/>
        </w:rPr>
        <w:t>19685.68</w:t>
      </w:r>
      <w:r>
        <w:rPr>
          <w:rFonts w:hint="eastAsia" w:ascii="仿宋_GB2312" w:eastAsia="仿宋_GB2312"/>
          <w:color w:val="000000"/>
          <w:sz w:val="32"/>
          <w:szCs w:val="32"/>
        </w:rPr>
        <w:t>万元增加</w:t>
      </w:r>
      <w:r>
        <w:rPr>
          <w:rFonts w:hint="eastAsia" w:ascii="仿宋_GB2312" w:eastAsia="仿宋_GB2312"/>
          <w:sz w:val="32"/>
          <w:szCs w:val="32"/>
        </w:rPr>
        <w:t>2099.32</w:t>
      </w:r>
      <w:r>
        <w:rPr>
          <w:rFonts w:hint="eastAsia" w:ascii="仿宋_GB2312" w:eastAsia="仿宋_GB2312"/>
          <w:color w:val="000000"/>
          <w:sz w:val="32"/>
          <w:szCs w:val="32"/>
        </w:rPr>
        <w:t>万元。增长原因为学院</w:t>
      </w:r>
      <w:r>
        <w:rPr>
          <w:rFonts w:hint="eastAsia" w:ascii="仿宋_GB2312" w:eastAsia="仿宋_GB2312"/>
          <w:color w:val="000000"/>
          <w:sz w:val="32"/>
          <w:szCs w:val="32"/>
          <w:lang w:val="en-US" w:eastAsia="zh-CN"/>
        </w:rPr>
        <w:t>预期</w:t>
      </w:r>
      <w:r>
        <w:rPr>
          <w:rFonts w:hint="eastAsia" w:ascii="仿宋_GB2312" w:eastAsia="仿宋_GB2312"/>
          <w:color w:val="000000"/>
          <w:sz w:val="32"/>
          <w:szCs w:val="32"/>
        </w:rPr>
        <w:t>考级收入有所增长；</w:t>
      </w:r>
      <w:bookmarkStart w:id="0" w:name="_GoBack"/>
      <w:bookmarkEnd w:id="0"/>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上年结转结余资金8397.24万元,比2021年10641.09万元减少2243.85万元。其中：继续使用的财政性结转资金397.24万元，单位资金8000.00万元，减少原因为学校在2021年安排结余资金的基础上，继续消化结余资金。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2022年支出预算58754.22万元，比2021年59344.46万元减少590.24万元，减少0.99%。</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56919.84万元，占总支出预算96.88%，比2021年47608.03万元增加9311.81万元，增加19.56%，增加原因为学院规范事业支出科目使用，相应增长基本支出中的事业支出。项目支出预算1834.38万元，占总支出预算3.12%，比2021年11736.43万元减少9902.05万元，减少84.37%，减少原因为学院规范经营支出科目使用，将学院考级产生的支出列入事业支出中统计。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1.事业单位经营支出0.00万元。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2.上缴上级支出0.00万元。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3.对附属单位补助支出0.00万元。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北京舞蹈学院预算项目支出方向及主要情况如下：</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改善办学保障条件类项目用于学院图书馆楼改造；</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学生资助类项目用于生活物价补贴</w:t>
      </w:r>
      <w:r>
        <w:rPr>
          <w:rFonts w:ascii="仿宋_GB2312"/>
          <w:color w:val="000000"/>
          <w:sz w:val="32"/>
          <w:szCs w:val="32"/>
        </w:rPr>
        <w:t>、</w:t>
      </w:r>
      <w:r>
        <w:rPr>
          <w:rFonts w:hint="eastAsia" w:ascii="仿宋_GB2312" w:eastAsia="仿宋_GB2312"/>
          <w:color w:val="000000"/>
          <w:sz w:val="32"/>
          <w:szCs w:val="32"/>
        </w:rPr>
        <w:t>国家助学金、困难学生饮水、洗澡、电话补助；</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人才培养质量建设类项目用于学院一流专业建设、开展卓越人才培养高校联盟项目；</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教师队伍建设类项目用于长城学者、青年拔尖、创新团队、特聘教授、职业院校教师素质提高；</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科技创新服务能力建设类项目为以前年度结转科研项目；</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国际合作与交流类项目用于外国留学生奖学金和“一带一路”国家人才培养。</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北京舞蹈学院因公出国（境）费用、公务接待费、公务用车购置和运行维护费开支单位包括北京舞蹈学院</w:t>
      </w:r>
      <w:r>
        <w:rPr>
          <w:rFonts w:ascii="仿宋_GB2312" w:eastAsia="仿宋_GB2312"/>
          <w:color w:val="000000"/>
          <w:sz w:val="32"/>
          <w:szCs w:val="32"/>
        </w:rPr>
        <w:t>1</w:t>
      </w:r>
      <w:r>
        <w:rPr>
          <w:rFonts w:hint="eastAsia" w:ascii="仿宋_GB2312" w:eastAsia="仿宋_GB2312"/>
          <w:color w:val="000000"/>
          <w:sz w:val="32"/>
          <w:szCs w:val="32"/>
        </w:rPr>
        <w:t>个单位。</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楷体_GB2312" w:eastAsia="楷体_GB2312"/>
          <w:color w:val="000000"/>
          <w:sz w:val="32"/>
          <w:szCs w:val="32"/>
        </w:rPr>
        <w:t>“</w:t>
      </w:r>
      <w:r>
        <w:rPr>
          <w:rFonts w:hint="eastAsia" w:ascii="仿宋_GB2312" w:eastAsia="仿宋_GB2312"/>
          <w:color w:val="000000"/>
          <w:sz w:val="32"/>
          <w:szCs w:val="32"/>
        </w:rPr>
        <w:t>三公经费</w:t>
      </w:r>
      <w:r>
        <w:rPr>
          <w:rFonts w:hint="eastAsia" w:ascii="楷体_GB2312" w:eastAsia="楷体_GB2312"/>
          <w:color w:val="000000"/>
          <w:sz w:val="32"/>
          <w:szCs w:val="32"/>
        </w:rPr>
        <w:t>”</w:t>
      </w:r>
      <w:r>
        <w:rPr>
          <w:rFonts w:hint="eastAsia" w:ascii="仿宋_GB2312" w:eastAsia="仿宋_GB2312"/>
          <w:color w:val="000000"/>
          <w:sz w:val="32"/>
          <w:szCs w:val="32"/>
        </w:rPr>
        <w:t>财政拨款预算64.00万元，与2021年</w:t>
      </w:r>
      <w:r>
        <w:rPr>
          <w:rFonts w:hint="eastAsia" w:ascii="楷体_GB2312" w:eastAsia="楷体_GB2312"/>
          <w:color w:val="000000"/>
          <w:sz w:val="32"/>
          <w:szCs w:val="32"/>
        </w:rPr>
        <w:t>“</w:t>
      </w:r>
      <w:r>
        <w:rPr>
          <w:rFonts w:hint="eastAsia" w:ascii="仿宋_GB2312" w:eastAsia="仿宋_GB2312"/>
          <w:color w:val="000000"/>
          <w:sz w:val="32"/>
          <w:szCs w:val="32"/>
        </w:rPr>
        <w:t>三公经费</w:t>
      </w:r>
      <w:r>
        <w:rPr>
          <w:rFonts w:hint="eastAsia" w:ascii="楷体_GB2312" w:eastAsia="楷体_GB2312"/>
          <w:color w:val="000000"/>
          <w:sz w:val="32"/>
          <w:szCs w:val="32"/>
        </w:rPr>
        <w:t>”</w:t>
      </w:r>
      <w:r>
        <w:rPr>
          <w:rFonts w:hint="eastAsia" w:ascii="仿宋_GB2312" w:eastAsia="仿宋_GB2312"/>
          <w:color w:val="000000"/>
          <w:sz w:val="32"/>
          <w:szCs w:val="32"/>
        </w:rPr>
        <w:t>财政拨款预算持平。其中：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1.因公出国（境）费用。2022年预算数45.00万元，比2021年预算数45.00万元，与上年持平。2022年因公出国（境）费用主要用于学术交流、出国参赛等方面。</w:t>
      </w:r>
    </w:p>
    <w:p>
      <w:pPr>
        <w:spacing w:line="560" w:lineRule="exact"/>
        <w:ind w:firstLine="640" w:firstLineChars="200"/>
        <w:rPr>
          <w:rFonts w:ascii="黑体" w:hAnsi="黑体" w:eastAsia="黑体"/>
          <w:color w:val="000000"/>
          <w:sz w:val="32"/>
          <w:szCs w:val="32"/>
        </w:rPr>
      </w:pPr>
      <w:r>
        <w:rPr>
          <w:rFonts w:hint="eastAsia" w:ascii="仿宋_GB2312" w:eastAsia="仿宋_GB2312"/>
          <w:color w:val="000000"/>
          <w:sz w:val="32"/>
          <w:szCs w:val="32"/>
        </w:rPr>
        <w:t>2.公务用车购置和运行维护费。2022年预算数19.00万元，其中，公务用车运行维护费2022年预算数19.00万元，其中：公务用车加油5.00万元，公务用车维修8.00万元，公务用车保险3.00万元，其他3.00万元。与2021年预算数19.00万元持平。</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2022年北京舞蹈学院政府采购预算总额9822.06万元，其中：政府采购货物预算2094.38万元，政府采购工程预算2806.98万元，政府采购服务预算4920.70万元。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2022年北京舞蹈学院政府购买服务预算总额0.00万元。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2022年，北京舞蹈学院填报绩效目标的预算项目14个，占本单位全部预算项目14个的100.00%。填报绩效目标的项目支出预算1437.15万元，占本单位年初全部项目支出预算的100.00%。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楷体_GB2312" w:eastAsia="楷体_GB2312"/>
          <w:color w:val="000000"/>
          <w:sz w:val="32"/>
          <w:szCs w:val="32"/>
        </w:rPr>
      </w:pPr>
      <w:r>
        <w:rPr>
          <w:rFonts w:hint="eastAsia" w:ascii="仿宋_GB2312" w:eastAsia="仿宋_GB2312"/>
          <w:color w:val="000000"/>
          <w:sz w:val="32"/>
          <w:szCs w:val="32"/>
        </w:rPr>
        <w:t>截至2021年底，北京舞蹈学院共有车辆9台，共计288.11万元；单位价值50万元以上的通用设备37台（套），共计2972.42万元，单位价值100万元以上的专用设备3台（套）</w:t>
      </w:r>
      <w:r>
        <w:rPr>
          <w:rFonts w:ascii="仿宋_GB2312"/>
          <w:color w:val="000000"/>
          <w:sz w:val="32"/>
          <w:szCs w:val="32"/>
        </w:rPr>
        <w:t>，</w:t>
      </w:r>
      <w:r>
        <w:rPr>
          <w:rFonts w:hint="eastAsia" w:ascii="仿宋_GB2312" w:eastAsia="仿宋_GB2312"/>
          <w:color w:val="000000"/>
          <w:sz w:val="32"/>
          <w:szCs w:val="32"/>
        </w:rPr>
        <w:t>共计475.86万元。</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附件：北京舞蹈学院2022年度单位预算报表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2061BC-06D6-43B3-A500-1F03E84580D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D6E849F-6C98-4EBA-8008-6678632BDFE8}"/>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3" w:fontKey="{68D44422-9ACC-47A6-9960-6FA8A8F98B9F}"/>
  </w:font>
  <w:font w:name="仿宋_GB2312">
    <w:altName w:val="仿宋"/>
    <w:panose1 w:val="02010609030101010101"/>
    <w:charset w:val="86"/>
    <w:family w:val="modern"/>
    <w:pitch w:val="default"/>
    <w:sig w:usb0="00000000" w:usb1="00000000" w:usb2="00000010" w:usb3="00000000" w:csb0="00040000" w:csb1="00000000"/>
    <w:embedRegular r:id="rId4" w:fontKey="{AF0960C5-85CD-4B26-A466-F992C253C0BE}"/>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embedRegular r:id="rId5" w:fontKey="{F82B4AC8-8F71-42B0-9A55-EDCD1ACFDD65}"/>
  </w:font>
  <w:font w:name="楷体">
    <w:panose1 w:val="02010609060101010101"/>
    <w:charset w:val="86"/>
    <w:family w:val="auto"/>
    <w:pitch w:val="default"/>
    <w:sig w:usb0="800002BF" w:usb1="38CF7CFA" w:usb2="00000016" w:usb3="00000000" w:csb0="00040001" w:csb1="00000000"/>
  </w:font>
  <w:font w:name="Droid Sans">
    <w:altName w:val="等线"/>
    <w:panose1 w:val="00000000000000000000"/>
    <w:charset w:val="00"/>
    <w:family w:val="auto"/>
    <w:pitch w:val="default"/>
    <w:sig w:usb0="00000000" w:usb1="00000000" w:usb2="00000000" w:usb3="00000000" w:csb0="00040001" w:csb1="00000000"/>
    <w:embedRegular r:id="rId6" w:fontKey="{A2697D91-CC42-4B4A-965D-414C64F5B3D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E23695"/>
    <w:multiLevelType w:val="singleLevel"/>
    <w:tmpl w:val="06E2369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765"/>
    <w:rsid w:val="00096003"/>
    <w:rsid w:val="000E0E3F"/>
    <w:rsid w:val="002565B2"/>
    <w:rsid w:val="00304462"/>
    <w:rsid w:val="00C43765"/>
    <w:rsid w:val="00C84F46"/>
    <w:rsid w:val="0BF32F25"/>
    <w:rsid w:val="0D7D68AD"/>
    <w:rsid w:val="30C16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unhideWhenUsed/>
    <w:qFormat/>
    <w:uiPriority w:val="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rFonts w:ascii="等线" w:hAnsi="等线" w:eastAsia="等线" w:cs="宋体"/>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rFonts w:ascii="等线" w:hAnsi="等线" w:eastAsia="等线" w:cs="宋体"/>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500</Words>
  <Characters>2854</Characters>
  <Lines>23</Lines>
  <Paragraphs>6</Paragraphs>
  <TotalTime>6</TotalTime>
  <ScaleCrop>false</ScaleCrop>
  <LinksUpToDate>false</LinksUpToDate>
  <CharactersWithSpaces>3348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璇</cp:lastModifiedBy>
  <dcterms:modified xsi:type="dcterms:W3CDTF">2022-02-28T06:11:41Z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FC7EDF8209EC4906BBF20724EF55329D</vt:lpwstr>
  </property>
</Properties>
</file>