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85C23">
      <w:pPr>
        <w:spacing w:line="560" w:lineRule="exact"/>
        <w:jc w:val="center"/>
        <w:rPr>
          <w:rFonts w:hint="eastAsia" w:ascii="方正小标宋简体" w:eastAsia="方正小标宋简体"/>
          <w:color w:val="000000"/>
          <w:sz w:val="44"/>
          <w:szCs w:val="44"/>
          <w:u w:val="none"/>
          <w:lang w:eastAsia="zh-CN"/>
        </w:rPr>
      </w:pPr>
    </w:p>
    <w:p w14:paraId="174E18BC">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北京教育考试院</w:t>
      </w:r>
    </w:p>
    <w:p w14:paraId="28A7777A">
      <w:pPr>
        <w:pageBreakBefore w:val="0"/>
        <w:widowControl w:val="0"/>
        <w:kinsoku/>
        <w:wordWrap/>
        <w:overflowPunct/>
        <w:topLinePunct w:val="0"/>
        <w:autoSpaceDE/>
        <w:autoSpaceDN/>
        <w:bidi w:val="0"/>
        <w:adjustRightInd/>
        <w:snapToGrid w:val="0"/>
        <w:spacing w:line="560" w:lineRule="exact"/>
        <w:jc w:val="center"/>
        <w:textAlignment w:val="auto"/>
        <w:rPr>
          <w:rFonts w:hint="eastAsia"/>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2AFBA865">
      <w:pPr>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color w:val="000000"/>
          <w:sz w:val="32"/>
          <w:szCs w:val="32"/>
          <w:u w:val="none"/>
        </w:rPr>
      </w:pPr>
    </w:p>
    <w:p w14:paraId="0B534CE4">
      <w:pPr>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7AD2A796">
      <w:pPr>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eastAsia="方正小标宋简体"/>
          <w:color w:val="000000"/>
          <w:sz w:val="32"/>
          <w:szCs w:val="32"/>
          <w:u w:val="none"/>
        </w:rPr>
      </w:pPr>
    </w:p>
    <w:p w14:paraId="44A82102">
      <w:pPr>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2407669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15F7E9E7">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12D90610">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8E01906">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6EA75D98">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56CACC15">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5BB9FF4D">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7DD15BA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6FBB5F82">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0B82B046">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1A683432">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06322F44">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25A67AF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46B991B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D9A83">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4C6C8D6B">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0061AAE3">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69D59164">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4DF3295B">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055943A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2A216D80">
      <w:pPr>
        <w:spacing w:line="560" w:lineRule="exact"/>
        <w:jc w:val="center"/>
        <w:rPr>
          <w:rFonts w:hint="eastAsia" w:ascii="仿宋_GB2312" w:hAnsi="仿宋_GB2312" w:eastAsia="仿宋_GB2312" w:cs="仿宋_GB2312"/>
          <w:color w:val="000000"/>
          <w:sz w:val="36"/>
          <w:szCs w:val="36"/>
          <w:u w:val="none"/>
        </w:rPr>
      </w:pPr>
    </w:p>
    <w:p w14:paraId="67D3E677">
      <w:pPr>
        <w:pStyle w:val="3"/>
        <w:rPr>
          <w:rFonts w:hint="eastAsia" w:ascii="仿宋_GB2312" w:hAnsi="仿宋_GB2312" w:eastAsia="仿宋_GB2312" w:cs="仿宋_GB2312"/>
          <w:color w:val="000000"/>
          <w:sz w:val="36"/>
          <w:szCs w:val="36"/>
          <w:u w:val="none"/>
        </w:rPr>
      </w:pPr>
    </w:p>
    <w:p w14:paraId="09B5526D">
      <w:pPr>
        <w:rPr>
          <w:rFonts w:hint="eastAsia" w:ascii="仿宋_GB2312" w:hAnsi="仿宋_GB2312" w:eastAsia="仿宋_GB2312" w:cs="仿宋_GB2312"/>
          <w:color w:val="000000"/>
          <w:sz w:val="36"/>
          <w:szCs w:val="36"/>
          <w:u w:val="none"/>
        </w:rPr>
      </w:pPr>
    </w:p>
    <w:p w14:paraId="04B92173">
      <w:pPr>
        <w:pStyle w:val="3"/>
        <w:rPr>
          <w:rFonts w:hint="eastAsia" w:ascii="仿宋_GB2312" w:hAnsi="仿宋_GB2312" w:eastAsia="仿宋_GB2312" w:cs="仿宋_GB2312"/>
          <w:color w:val="000000"/>
          <w:sz w:val="36"/>
          <w:szCs w:val="36"/>
          <w:u w:val="none"/>
        </w:rPr>
      </w:pPr>
    </w:p>
    <w:p w14:paraId="403B4EDB">
      <w:pPr>
        <w:rPr>
          <w:rFonts w:hint="eastAsia" w:ascii="仿宋_GB2312" w:hAnsi="仿宋_GB2312" w:eastAsia="仿宋_GB2312" w:cs="仿宋_GB2312"/>
          <w:color w:val="000000"/>
          <w:sz w:val="36"/>
          <w:szCs w:val="36"/>
          <w:u w:val="none"/>
        </w:rPr>
      </w:pPr>
    </w:p>
    <w:p w14:paraId="30CE550A">
      <w:pPr>
        <w:pStyle w:val="3"/>
        <w:rPr>
          <w:rFonts w:hint="eastAsia" w:ascii="仿宋_GB2312" w:hAnsi="仿宋_GB2312" w:eastAsia="仿宋_GB2312" w:cs="仿宋_GB2312"/>
          <w:color w:val="000000"/>
          <w:sz w:val="36"/>
          <w:szCs w:val="36"/>
          <w:u w:val="none"/>
        </w:rPr>
      </w:pPr>
    </w:p>
    <w:p w14:paraId="258CACE2">
      <w:pPr>
        <w:rPr>
          <w:rFonts w:hint="eastAsia" w:ascii="仿宋_GB2312" w:hAnsi="仿宋_GB2312" w:eastAsia="仿宋_GB2312" w:cs="仿宋_GB2312"/>
          <w:color w:val="000000"/>
          <w:sz w:val="36"/>
          <w:szCs w:val="36"/>
          <w:u w:val="none"/>
        </w:rPr>
      </w:pPr>
    </w:p>
    <w:p w14:paraId="0515126E">
      <w:pPr>
        <w:pStyle w:val="3"/>
        <w:rPr>
          <w:rFonts w:hint="eastAsia"/>
        </w:rPr>
      </w:pPr>
    </w:p>
    <w:p w14:paraId="023F3FDA">
      <w:pPr>
        <w:spacing w:line="560" w:lineRule="exact"/>
        <w:jc w:val="center"/>
        <w:rPr>
          <w:rFonts w:hint="eastAsia" w:ascii="仿宋_GB2312" w:hAnsi="仿宋_GB2312" w:eastAsia="仿宋_GB2312" w:cs="仿宋_GB2312"/>
          <w:color w:val="000000"/>
          <w:sz w:val="36"/>
          <w:szCs w:val="36"/>
          <w:u w:val="none"/>
        </w:rPr>
      </w:pPr>
    </w:p>
    <w:p w14:paraId="63AC3340">
      <w:pPr>
        <w:spacing w:line="560" w:lineRule="exact"/>
        <w:jc w:val="center"/>
        <w:rPr>
          <w:rFonts w:hint="eastAsia" w:ascii="仿宋_GB2312" w:hAnsi="仿宋_GB2312" w:eastAsia="仿宋_GB2312" w:cs="仿宋_GB2312"/>
          <w:color w:val="000000"/>
          <w:sz w:val="36"/>
          <w:szCs w:val="36"/>
          <w:u w:val="none"/>
        </w:rPr>
      </w:pPr>
    </w:p>
    <w:p w14:paraId="245C8279">
      <w:pPr>
        <w:spacing w:line="560" w:lineRule="exact"/>
        <w:jc w:val="center"/>
        <w:rPr>
          <w:rFonts w:hint="eastAsia" w:ascii="仿宋_GB2312" w:hAnsi="仿宋_GB2312" w:eastAsia="仿宋_GB2312" w:cs="仿宋_GB2312"/>
          <w:color w:val="000000"/>
          <w:sz w:val="36"/>
          <w:szCs w:val="36"/>
          <w:u w:val="none"/>
        </w:rPr>
      </w:pPr>
    </w:p>
    <w:p w14:paraId="1416734E">
      <w:pPr>
        <w:spacing w:line="560" w:lineRule="exact"/>
        <w:jc w:val="center"/>
        <w:rPr>
          <w:rFonts w:hint="eastAsia" w:ascii="仿宋_GB2312" w:hAnsi="仿宋_GB2312" w:eastAsia="仿宋_GB2312" w:cs="仿宋_GB2312"/>
          <w:color w:val="000000"/>
          <w:sz w:val="36"/>
          <w:szCs w:val="36"/>
          <w:u w:val="none"/>
        </w:rPr>
      </w:pPr>
    </w:p>
    <w:p w14:paraId="669AAA33">
      <w:pPr>
        <w:spacing w:line="560" w:lineRule="exact"/>
        <w:jc w:val="center"/>
        <w:rPr>
          <w:rFonts w:hint="eastAsia" w:ascii="仿宋_GB2312" w:hAnsi="仿宋_GB2312" w:eastAsia="仿宋_GB2312" w:cs="仿宋_GB2312"/>
          <w:color w:val="000000"/>
          <w:sz w:val="36"/>
          <w:szCs w:val="36"/>
          <w:u w:val="none"/>
        </w:rPr>
      </w:pPr>
    </w:p>
    <w:p w14:paraId="3F0EAA84">
      <w:pPr>
        <w:spacing w:line="560" w:lineRule="exact"/>
        <w:jc w:val="center"/>
        <w:rPr>
          <w:rFonts w:hint="eastAsia" w:ascii="仿宋_GB2312" w:hAnsi="仿宋_GB2312" w:eastAsia="仿宋_GB2312" w:cs="仿宋_GB2312"/>
          <w:color w:val="000000"/>
          <w:sz w:val="36"/>
          <w:szCs w:val="36"/>
          <w:u w:val="none"/>
        </w:rPr>
      </w:pPr>
    </w:p>
    <w:p w14:paraId="55F8B030">
      <w:pPr>
        <w:spacing w:line="560" w:lineRule="exact"/>
        <w:jc w:val="center"/>
        <w:rPr>
          <w:rFonts w:hint="eastAsia" w:ascii="方正小标宋简体" w:eastAsia="方正小标宋简体"/>
          <w:color w:val="000000"/>
          <w:sz w:val="36"/>
          <w:szCs w:val="36"/>
          <w:u w:val="none"/>
        </w:rPr>
      </w:pPr>
    </w:p>
    <w:p w14:paraId="64BD7996">
      <w:pPr>
        <w:spacing w:line="560" w:lineRule="exact"/>
        <w:jc w:val="center"/>
        <w:rPr>
          <w:rFonts w:hint="eastAsia" w:ascii="方正小标宋简体" w:eastAsia="方正小标宋简体"/>
          <w:color w:val="000000"/>
          <w:sz w:val="36"/>
          <w:szCs w:val="36"/>
          <w:u w:val="none"/>
        </w:rPr>
      </w:pPr>
    </w:p>
    <w:p w14:paraId="6100E28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000000"/>
          <w:sz w:val="36"/>
          <w:szCs w:val="36"/>
          <w:u w:val="none"/>
        </w:rPr>
      </w:pPr>
    </w:p>
    <w:p w14:paraId="52BCDC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黑体" w:eastAsia="黑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1F0F35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14E2062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013F65D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color w:val="000000"/>
          <w:sz w:val="32"/>
          <w:szCs w:val="32"/>
        </w:rPr>
      </w:pPr>
      <w:r>
        <w:rPr>
          <w:rFonts w:hint="eastAsia" w:ascii="仿宋_GB2312" w:eastAsia="仿宋_GB2312"/>
          <w:color w:val="auto"/>
          <w:sz w:val="32"/>
          <w:szCs w:val="32"/>
          <w:lang w:eastAsia="zh-CN"/>
        </w:rPr>
        <w:t>北京教育考试院</w:t>
      </w:r>
      <w:r>
        <w:rPr>
          <w:rFonts w:hint="eastAsia" w:ascii="仿宋_GB2312" w:eastAsia="仿宋_GB2312"/>
          <w:color w:val="auto"/>
          <w:sz w:val="32"/>
          <w:szCs w:val="32"/>
        </w:rPr>
        <w:t>为</w:t>
      </w:r>
      <w:r>
        <w:rPr>
          <w:rFonts w:hint="eastAsia" w:ascii="仿宋_GB2312" w:eastAsia="仿宋_GB2312"/>
          <w:color w:val="auto"/>
          <w:sz w:val="32"/>
          <w:szCs w:val="32"/>
          <w:u w:val="none"/>
        </w:rPr>
        <w:t>公益一类</w:t>
      </w:r>
      <w:r>
        <w:rPr>
          <w:rFonts w:hint="eastAsia" w:ascii="仿宋_GB2312" w:eastAsia="仿宋_GB2312"/>
          <w:color w:val="auto"/>
          <w:sz w:val="32"/>
          <w:szCs w:val="32"/>
        </w:rPr>
        <w:t>事业单位，主要职责为</w:t>
      </w:r>
      <w:r>
        <w:rPr>
          <w:rFonts w:hint="eastAsia" w:ascii="仿宋" w:hAnsi="仿宋" w:eastAsia="仿宋" w:cs="仿宋"/>
          <w:sz w:val="32"/>
          <w:szCs w:val="32"/>
        </w:rPr>
        <w:t>组织教育考试、招生、促进教育发展</w:t>
      </w:r>
      <w:r>
        <w:rPr>
          <w:rFonts w:hint="eastAsia" w:ascii="仿宋" w:hAnsi="仿宋" w:eastAsia="仿宋" w:cs="仿宋"/>
          <w:sz w:val="32"/>
          <w:szCs w:val="32"/>
          <w:lang w:eastAsia="zh-CN"/>
        </w:rPr>
        <w:t>；</w:t>
      </w:r>
      <w:r>
        <w:rPr>
          <w:rFonts w:hint="eastAsia" w:ascii="仿宋" w:hAnsi="仿宋" w:eastAsia="仿宋" w:cs="仿宋"/>
          <w:sz w:val="32"/>
          <w:szCs w:val="32"/>
        </w:rPr>
        <w:t>负责北京地区的高级中等学校考试招生、普通高等学校考试招生、成人高等学校考试招生、高等教育自学考试及面向社会的非学历等级证书考试的管理和研究工作</w:t>
      </w:r>
      <w:r>
        <w:rPr>
          <w:rFonts w:hint="eastAsia" w:ascii="仿宋" w:hAnsi="仿宋" w:eastAsia="仿宋" w:cs="仿宋"/>
          <w:sz w:val="32"/>
          <w:szCs w:val="32"/>
          <w:lang w:eastAsia="zh-CN"/>
        </w:rPr>
        <w:t>；</w:t>
      </w:r>
      <w:r>
        <w:rPr>
          <w:rFonts w:hint="eastAsia" w:ascii="仿宋" w:hAnsi="仿宋" w:eastAsia="仿宋" w:cs="仿宋"/>
          <w:sz w:val="32"/>
          <w:szCs w:val="32"/>
        </w:rPr>
        <w:t>负责管理和承办北京地区中外合作教育考试</w:t>
      </w:r>
      <w:r>
        <w:rPr>
          <w:rFonts w:hint="eastAsia" w:ascii="仿宋" w:hAnsi="仿宋" w:eastAsia="仿宋" w:cs="仿宋"/>
          <w:sz w:val="32"/>
          <w:szCs w:val="32"/>
          <w:lang w:eastAsia="zh-CN"/>
        </w:rPr>
        <w:t>；</w:t>
      </w:r>
      <w:r>
        <w:rPr>
          <w:rFonts w:hint="eastAsia" w:ascii="仿宋" w:hAnsi="仿宋" w:eastAsia="仿宋" w:cs="仿宋"/>
          <w:sz w:val="32"/>
          <w:szCs w:val="32"/>
        </w:rPr>
        <w:t>负责教育考试命题、研究与评价服务。</w:t>
      </w:r>
    </w:p>
    <w:p w14:paraId="455230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1F3864"/>
          <w:sz w:val="24"/>
        </w:rPr>
      </w:pPr>
      <w:r>
        <w:rPr>
          <w:rFonts w:hint="eastAsia" w:ascii="楷体_GB2312" w:eastAsia="楷体_GB2312"/>
          <w:color w:val="000000"/>
          <w:sz w:val="32"/>
          <w:szCs w:val="32"/>
          <w:u w:val="none"/>
        </w:rPr>
        <w:t>（二）机构设置情况</w:t>
      </w:r>
    </w:p>
    <w:p w14:paraId="263D1FD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1F3864"/>
          <w:sz w:val="24"/>
        </w:rPr>
      </w:pPr>
      <w:r>
        <w:rPr>
          <w:rFonts w:hint="eastAsia" w:ascii="仿宋" w:hAnsi="仿宋" w:eastAsia="仿宋" w:cs="仿宋"/>
          <w:sz w:val="32"/>
          <w:szCs w:val="32"/>
        </w:rPr>
        <w:t>北京教育考试院内设16个机构，分别为：党政办公室、人事处、党群工作处、行政财务处、纪律检查委员会办公室、科研与评价处、考务处、信息化处、命题一处、命题二处、中等学校招生办公室、普通高等学校招生办公室、研究生招生办公室、成人教育招生办公室、高等教育自学考试办公室、社会考试办公室。</w:t>
      </w:r>
    </w:p>
    <w:p w14:paraId="29480F0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65FCBE2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color w:val="000000"/>
          <w:sz w:val="32"/>
          <w:szCs w:val="32"/>
          <w:u w:val="none"/>
          <w:lang w:eastAsia="zh-CN"/>
        </w:rPr>
        <w:t>北京教育考试院</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人；事业编制</w:t>
      </w:r>
      <w:r>
        <w:rPr>
          <w:rFonts w:hint="eastAsia" w:ascii="仿宋_GB2312" w:eastAsia="仿宋_GB2312"/>
          <w:color w:val="000000"/>
          <w:sz w:val="32"/>
          <w:szCs w:val="32"/>
          <w:u w:val="none"/>
          <w:lang w:val="en-US" w:eastAsia="zh-CN"/>
        </w:rPr>
        <w:t>184</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165</w:t>
      </w:r>
      <w:r>
        <w:rPr>
          <w:rFonts w:hint="eastAsia" w:ascii="仿宋_GB2312" w:eastAsia="仿宋_GB2312"/>
          <w:color w:val="000000"/>
          <w:sz w:val="32"/>
          <w:szCs w:val="32"/>
          <w:u w:val="none"/>
        </w:rPr>
        <w:t>人；</w:t>
      </w:r>
      <w:r>
        <w:rPr>
          <w:rFonts w:hint="eastAsia" w:ascii="仿宋_GB2312" w:eastAsia="仿宋_GB2312" w:cs="Times New Roman"/>
          <w:sz w:val="32"/>
          <w:szCs w:val="32"/>
          <w:highlight w:val="none"/>
        </w:rPr>
        <w:t>聘用人员（其他聘用人员--临时工）</w:t>
      </w:r>
      <w:r>
        <w:rPr>
          <w:rFonts w:hint="eastAsia" w:ascii="仿宋_GB2312" w:eastAsia="仿宋_GB2312" w:cs="Times New Roman"/>
          <w:sz w:val="32"/>
          <w:szCs w:val="32"/>
          <w:highlight w:val="none"/>
          <w:lang w:val="en-US" w:eastAsia="zh-CN"/>
        </w:rPr>
        <w:t>4人</w:t>
      </w:r>
      <w:r>
        <w:rPr>
          <w:rFonts w:hint="eastAsia" w:ascii="仿宋" w:hAnsi="仿宋" w:eastAsia="仿宋" w:cs="仿宋"/>
          <w:color w:val="000000"/>
          <w:sz w:val="32"/>
          <w:szCs w:val="32"/>
        </w:rPr>
        <w:t>。</w:t>
      </w:r>
      <w:r>
        <w:rPr>
          <w:rFonts w:hint="eastAsia" w:ascii="仿宋_GB2312" w:eastAsia="仿宋_GB2312"/>
          <w:sz w:val="32"/>
          <w:szCs w:val="32"/>
        </w:rPr>
        <w:t>离退休人员</w:t>
      </w:r>
      <w:r>
        <w:rPr>
          <w:rFonts w:hint="eastAsia" w:ascii="仿宋_GB2312" w:eastAsia="仿宋_GB2312"/>
          <w:sz w:val="32"/>
          <w:szCs w:val="32"/>
          <w:lang w:val="en-US" w:eastAsia="zh-CN"/>
        </w:rPr>
        <w:t>139</w:t>
      </w:r>
      <w:r>
        <w:rPr>
          <w:rFonts w:hint="eastAsia" w:ascii="仿宋_GB2312" w:eastAsia="仿宋_GB2312"/>
          <w:sz w:val="32"/>
          <w:szCs w:val="32"/>
        </w:rPr>
        <w:t>人，其中：离休0人，退休</w:t>
      </w:r>
      <w:r>
        <w:rPr>
          <w:rFonts w:hint="eastAsia" w:ascii="仿宋_GB2312" w:eastAsia="仿宋_GB2312"/>
          <w:sz w:val="32"/>
          <w:szCs w:val="32"/>
          <w:lang w:val="en-US" w:eastAsia="zh-CN"/>
        </w:rPr>
        <w:t>139</w:t>
      </w:r>
      <w:r>
        <w:rPr>
          <w:rFonts w:hint="eastAsia" w:ascii="仿宋_GB2312" w:eastAsia="仿宋_GB2312"/>
          <w:sz w:val="32"/>
          <w:szCs w:val="32"/>
        </w:rPr>
        <w:t>人。</w:t>
      </w:r>
    </w:p>
    <w:p w14:paraId="640642B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olor w:val="1F3864"/>
          <w:sz w:val="24"/>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127F6B4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Times New Roman"/>
          <w:sz w:val="32"/>
          <w:szCs w:val="32"/>
          <w:highlight w:val="none"/>
        </w:rPr>
      </w:pP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度</w:t>
      </w:r>
      <w:r>
        <w:rPr>
          <w:rFonts w:hint="eastAsia" w:ascii="仿宋_GB2312" w:eastAsia="仿宋_GB2312"/>
          <w:sz w:val="32"/>
          <w:szCs w:val="32"/>
          <w:highlight w:val="none"/>
        </w:rPr>
        <w:t>收入预算</w:t>
      </w:r>
      <w:r>
        <w:rPr>
          <w:rFonts w:hint="eastAsia" w:ascii="仿宋_GB2312" w:eastAsia="仿宋_GB2312"/>
          <w:color w:val="000000" w:themeColor="text1"/>
          <w:sz w:val="32"/>
          <w:szCs w:val="32"/>
          <w:highlight w:val="none"/>
          <w14:textFill>
            <w14:solidFill>
              <w14:schemeClr w14:val="tx1"/>
            </w14:solidFill>
          </w14:textFill>
        </w:rPr>
        <w:t>29123.1</w:t>
      </w:r>
      <w:r>
        <w:rPr>
          <w:rFonts w:hint="eastAsia" w:ascii="仿宋_GB2312" w:eastAsia="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万元，比202</w:t>
      </w:r>
      <w:r>
        <w:rPr>
          <w:rFonts w:hint="eastAsia" w:ascii="仿宋_GB2312" w:eastAsia="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auto"/>
          <w:sz w:val="32"/>
          <w:szCs w:val="32"/>
          <w:u w:val="none"/>
          <w:lang w:eastAsia="zh-CN"/>
        </w:rPr>
        <w:t>年初预算数</w:t>
      </w:r>
      <w:r>
        <w:rPr>
          <w:rFonts w:hint="eastAsia" w:ascii="仿宋_GB2312" w:eastAsia="仿宋_GB2312"/>
          <w:color w:val="000000" w:themeColor="text1"/>
          <w:sz w:val="32"/>
          <w:szCs w:val="32"/>
          <w:highlight w:val="none"/>
          <w14:textFill>
            <w14:solidFill>
              <w14:schemeClr w14:val="tx1"/>
            </w14:solidFill>
          </w14:textFill>
        </w:rPr>
        <w:t>28512.39万元增加</w:t>
      </w:r>
      <w:r>
        <w:rPr>
          <w:rFonts w:hint="eastAsia" w:ascii="仿宋_GB2312" w:eastAsia="仿宋_GB2312"/>
          <w:color w:val="000000" w:themeColor="text1"/>
          <w:sz w:val="32"/>
          <w:szCs w:val="32"/>
          <w:highlight w:val="none"/>
          <w:lang w:val="en-US" w:eastAsia="zh-CN"/>
          <w14:textFill>
            <w14:solidFill>
              <w14:schemeClr w14:val="tx1"/>
            </w14:solidFill>
          </w14:textFill>
        </w:rPr>
        <w:t>610.75</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2.14</w:t>
      </w:r>
      <w:r>
        <w:rPr>
          <w:rFonts w:hint="eastAsia" w:ascii="仿宋_GB2312" w:eastAsia="仿宋_GB2312"/>
          <w:sz w:val="32"/>
          <w:szCs w:val="32"/>
          <w:highlight w:val="none"/>
        </w:rPr>
        <w:t>%。</w:t>
      </w:r>
      <w:r>
        <w:rPr>
          <w:rFonts w:hint="eastAsia" w:ascii="仿宋_GB2312" w:eastAsia="仿宋_GB2312" w:cs="Times New Roman"/>
          <w:sz w:val="32"/>
          <w:szCs w:val="32"/>
          <w:highlight w:val="none"/>
        </w:rPr>
        <w:t>主要原因是按照全口径预算管理要求，为进一步加强非财政拨款资金管理，北京教育考试院将所有非财政拨款资金全部纳入年度预算管理。</w:t>
      </w:r>
    </w:p>
    <w:p w14:paraId="23EB7BC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本年财政拨款收入14253.03万元</w:t>
      </w:r>
    </w:p>
    <w:p w14:paraId="37109FA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楷体_GB2312" w:eastAsia="楷体_GB2312"/>
          <w:color w:val="auto"/>
          <w:sz w:val="32"/>
          <w:szCs w:val="32"/>
          <w:u w:val="none"/>
          <w:lang w:eastAsia="zh-CN"/>
        </w:rPr>
        <w:t>14253.03</w:t>
      </w:r>
      <w:r>
        <w:rPr>
          <w:rFonts w:hint="eastAsia" w:ascii="仿宋_GB2312" w:eastAsia="仿宋_GB2312" w:cs="Droid Sans"/>
          <w:color w:val="auto"/>
          <w:sz w:val="32"/>
          <w:szCs w:val="32"/>
          <w:u w:val="none"/>
        </w:rPr>
        <w:t>万元。</w:t>
      </w:r>
    </w:p>
    <w:p w14:paraId="3BD8E90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040820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5AFC463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eastAsia="楷体_GB2312" w:cs="Droid Sans"/>
          <w:color w:val="auto"/>
          <w:sz w:val="32"/>
          <w:szCs w:val="32"/>
          <w:highlight w:val="none"/>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highlight w:val="none"/>
          <w:u w:val="none"/>
          <w:lang w:eastAsia="zh-CN"/>
        </w:rPr>
        <w:t>本年其他资金</w:t>
      </w:r>
      <w:r>
        <w:rPr>
          <w:rFonts w:hint="eastAsia" w:ascii="楷体_GB2312" w:eastAsia="楷体_GB2312" w:cs="Droid Sans"/>
          <w:color w:val="auto"/>
          <w:sz w:val="32"/>
          <w:szCs w:val="32"/>
          <w:highlight w:val="none"/>
          <w:u w:val="none"/>
          <w:lang w:eastAsia="zh-CN"/>
        </w:rPr>
        <w:t>收入</w:t>
      </w:r>
      <w:r>
        <w:rPr>
          <w:rFonts w:hint="eastAsia" w:ascii="仿宋_GB2312" w:eastAsia="仿宋_GB2312"/>
          <w:sz w:val="32"/>
          <w:szCs w:val="32"/>
          <w:highlight w:val="none"/>
          <w:lang w:val="en-US" w:eastAsia="zh-CN"/>
        </w:rPr>
        <w:t>8872.11</w:t>
      </w:r>
      <w:r>
        <w:rPr>
          <w:rFonts w:hint="eastAsia" w:ascii="楷体_GB2312" w:eastAsia="楷体_GB2312" w:cs="Droid Sans"/>
          <w:color w:val="auto"/>
          <w:sz w:val="32"/>
          <w:szCs w:val="32"/>
          <w:highlight w:val="none"/>
          <w:u w:val="none"/>
          <w:lang w:eastAsia="zh-CN"/>
        </w:rPr>
        <w:t>万元</w:t>
      </w:r>
    </w:p>
    <w:p w14:paraId="0133440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s="Droid Sans"/>
          <w:color w:val="auto"/>
          <w:sz w:val="32"/>
          <w:szCs w:val="32"/>
          <w:highlight w:val="none"/>
          <w:u w:val="none"/>
          <w:lang w:val="en-US" w:eastAsia="zh-CN"/>
        </w:rPr>
      </w:pPr>
      <w:r>
        <w:rPr>
          <w:rFonts w:hint="eastAsia" w:ascii="仿宋_GB2312" w:eastAsia="仿宋_GB2312" w:cs="Droid Sans"/>
          <w:color w:val="auto"/>
          <w:sz w:val="32"/>
          <w:szCs w:val="32"/>
          <w:highlight w:val="none"/>
          <w:u w:val="none"/>
          <w:lang w:val="en-US" w:eastAsia="zh-CN"/>
        </w:rPr>
        <w:t>4.财政专户管理资金收入</w:t>
      </w:r>
      <w:r>
        <w:rPr>
          <w:rFonts w:hint="eastAsia" w:ascii="仿宋_GB2312" w:eastAsia="仿宋_GB2312" w:cs="Droid Sans"/>
          <w:color w:val="auto"/>
          <w:sz w:val="32"/>
          <w:szCs w:val="32"/>
          <w:highlight w:val="none"/>
          <w:u w:val="none"/>
        </w:rPr>
        <w:t>7614.63万元。</w:t>
      </w:r>
    </w:p>
    <w:p w14:paraId="32579E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s="Droid Sans"/>
          <w:color w:val="auto"/>
          <w:sz w:val="32"/>
          <w:szCs w:val="32"/>
          <w:highlight w:val="none"/>
          <w:u w:val="none"/>
          <w:lang w:val="en-US" w:eastAsia="zh-CN"/>
        </w:rPr>
      </w:pPr>
      <w:r>
        <w:rPr>
          <w:rFonts w:hint="eastAsia" w:ascii="仿宋_GB2312" w:eastAsia="仿宋_GB2312" w:cs="Droid Sans"/>
          <w:color w:val="auto"/>
          <w:sz w:val="32"/>
          <w:szCs w:val="32"/>
          <w:highlight w:val="none"/>
          <w:u w:val="none"/>
          <w:lang w:val="en-US" w:eastAsia="zh-CN"/>
        </w:rPr>
        <w:t>5.事业收入</w:t>
      </w:r>
      <w:r>
        <w:rPr>
          <w:rFonts w:hint="eastAsia" w:ascii="仿宋_GB2312" w:eastAsia="仿宋_GB2312" w:cs="Droid Sans"/>
          <w:color w:val="000000" w:themeColor="text1"/>
          <w:sz w:val="32"/>
          <w:szCs w:val="32"/>
          <w:highlight w:val="none"/>
          <w:u w:val="none"/>
          <w14:textFill>
            <w14:solidFill>
              <w14:schemeClr w14:val="tx1"/>
            </w14:solidFill>
          </w14:textFill>
        </w:rPr>
        <w:t>1247.4</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8</w:t>
      </w:r>
      <w:r>
        <w:rPr>
          <w:rFonts w:hint="eastAsia" w:ascii="仿宋_GB2312" w:eastAsia="仿宋_GB2312" w:cs="Droid Sans"/>
          <w:color w:val="auto"/>
          <w:sz w:val="32"/>
          <w:szCs w:val="32"/>
          <w:highlight w:val="none"/>
          <w:u w:val="none"/>
        </w:rPr>
        <w:t>万元。</w:t>
      </w:r>
    </w:p>
    <w:p w14:paraId="4A2C7D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14:paraId="3387E3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14:paraId="7C1AFC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14:paraId="51F6AB9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9.其他收入10.00</w:t>
      </w:r>
      <w:r>
        <w:rPr>
          <w:rFonts w:hint="eastAsia" w:ascii="仿宋_GB2312" w:eastAsia="仿宋_GB2312" w:cs="Droid Sans"/>
          <w:color w:val="auto"/>
          <w:sz w:val="32"/>
          <w:szCs w:val="32"/>
          <w:u w:val="none"/>
        </w:rPr>
        <w:t>万元。</w:t>
      </w:r>
    </w:p>
    <w:p w14:paraId="12A0C9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5998.00万元</w:t>
      </w:r>
    </w:p>
    <w:p w14:paraId="7C8BAD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rPr>
        <w:t>5998.00万元。</w:t>
      </w:r>
    </w:p>
    <w:p w14:paraId="6A213B02">
      <w:pPr>
        <w:spacing w:line="240" w:lineRule="auto"/>
        <w:ind w:firstLine="0" w:firstLineChars="0"/>
        <w:jc w:val="center"/>
        <w:rPr>
          <w:rFonts w:hint="eastAsia" w:ascii="仿宋_GB2312" w:eastAsia="仿宋_GB2312"/>
          <w:b/>
          <w:bCs/>
          <w:color w:val="auto"/>
          <w:sz w:val="32"/>
          <w:szCs w:val="32"/>
          <w:u w:val="none"/>
          <w:lang w:val="en-US" w:eastAsia="zh-CN"/>
        </w:rPr>
      </w:pPr>
      <w:r>
        <w:rPr>
          <w:rFonts w:hint="eastAsia" w:ascii="仿宋_GB2312" w:eastAsia="仿宋_GB2312" w:cs="Droid Sans"/>
          <w:color w:val="auto"/>
          <w:sz w:val="32"/>
          <w:szCs w:val="32"/>
          <w:u w:val="none"/>
          <w:lang w:eastAsia="zh-CN"/>
        </w:rPr>
        <w:object>
          <v:shape id="_x0000_i1025" o:spt="75" type="#_x0000_t75" style="height:213.2pt;width:439.15pt;" o:ole="t" filled="f" o:preferrelative="t" stroked="f" coordsize="21600,21600">
            <v:path/>
            <v:fill on="f" focussize="0,0"/>
            <v:stroke on="f"/>
            <v:imagedata r:id="rId6" o:title=""/>
            <o:lock v:ext="edit" aspectratio="t"/>
            <w10:wrap type="none"/>
            <w10:anchorlock/>
          </v:shape>
          <o:OLEObject Type="Embed" ProgID="Excel.Chart.8" ShapeID="_x0000_i1025" DrawAspect="Content" ObjectID="_1468075725" r:id="rId5">
            <o:LockedField>false</o:LockedField>
          </o:OLEObject>
        </w:object>
      </w:r>
      <w:r>
        <w:rPr>
          <w:rFonts w:hint="eastAsia" w:ascii="仿宋_GB2312" w:eastAsia="仿宋_GB2312"/>
          <w:b/>
          <w:bCs/>
          <w:color w:val="auto"/>
          <w:sz w:val="32"/>
          <w:szCs w:val="32"/>
          <w:u w:val="none"/>
          <w:lang w:val="en-US" w:eastAsia="zh-CN"/>
        </w:rPr>
        <w:t>图1：收入预算</w:t>
      </w:r>
    </w:p>
    <w:p w14:paraId="5B941012">
      <w:pPr>
        <w:ind w:firstLine="640" w:firstLineChars="200"/>
        <w:rPr>
          <w:rFonts w:hint="eastAsia" w:ascii="仿宋_GB2312" w:eastAsia="仿宋_GB2312"/>
          <w:color w:val="1F3864"/>
          <w:sz w:val="24"/>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06C064EC">
      <w:pPr>
        <w:ind w:firstLine="555"/>
        <w:rPr>
          <w:rFonts w:hint="eastAsia" w:ascii="仿宋_GB2312" w:eastAsia="仿宋_GB2312" w:cs="Times New Roman"/>
          <w:color w:val="auto"/>
          <w:sz w:val="32"/>
          <w:szCs w:val="32"/>
          <w:u w:val="none"/>
          <w:lang w:eastAsia="zh-CN"/>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支出预算</w:t>
      </w:r>
      <w:r>
        <w:rPr>
          <w:rFonts w:hint="eastAsia" w:ascii="仿宋_GB2312" w:eastAsia="仿宋_GB2312"/>
          <w:color w:val="000000" w:themeColor="text1"/>
          <w:sz w:val="32"/>
          <w:szCs w:val="32"/>
          <w:highlight w:val="none"/>
          <w:u w:val="none"/>
          <w:lang w:val="en-US" w:eastAsia="zh-CN"/>
          <w14:textFill>
            <w14:solidFill>
              <w14:schemeClr w14:val="tx1"/>
            </w14:solidFill>
          </w14:textFill>
        </w:rPr>
        <w:t>29123.14</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w:t>
      </w:r>
      <w:r>
        <w:rPr>
          <w:rFonts w:hint="eastAsia" w:ascii="仿宋_GB2312" w:eastAsia="仿宋_GB2312"/>
          <w:sz w:val="32"/>
          <w:szCs w:val="32"/>
        </w:rPr>
        <w:t>28512.39</w:t>
      </w:r>
      <w:r>
        <w:rPr>
          <w:rFonts w:hint="eastAsia" w:ascii="仿宋_GB2312" w:eastAsia="仿宋_GB2312"/>
          <w:color w:val="000000" w:themeColor="text1"/>
          <w:sz w:val="32"/>
          <w:szCs w:val="32"/>
          <w:highlight w:val="none"/>
          <w14:textFill>
            <w14:solidFill>
              <w14:schemeClr w14:val="tx1"/>
            </w14:solidFill>
          </w14:textFill>
        </w:rPr>
        <w:t>万元增加</w:t>
      </w:r>
      <w:r>
        <w:rPr>
          <w:rFonts w:hint="eastAsia" w:ascii="仿宋_GB2312" w:eastAsia="仿宋_GB2312"/>
          <w:color w:val="000000" w:themeColor="text1"/>
          <w:sz w:val="32"/>
          <w:szCs w:val="32"/>
          <w:highlight w:val="none"/>
          <w:lang w:val="en-US" w:eastAsia="zh-CN"/>
          <w14:textFill>
            <w14:solidFill>
              <w14:schemeClr w14:val="tx1"/>
            </w14:solidFill>
          </w14:textFill>
        </w:rPr>
        <w:t>610.75</w:t>
      </w:r>
      <w:r>
        <w:rPr>
          <w:rFonts w:hint="eastAsia" w:ascii="仿宋_GB2312" w:eastAsia="仿宋_GB2312"/>
          <w:color w:val="000000" w:themeColor="text1"/>
          <w:sz w:val="32"/>
          <w:szCs w:val="32"/>
          <w:highlight w:val="none"/>
          <w14:textFill>
            <w14:solidFill>
              <w14:schemeClr w14:val="tx1"/>
            </w14:solidFill>
          </w14:textFill>
        </w:rPr>
        <w:t>万元，增长</w:t>
      </w:r>
      <w:r>
        <w:rPr>
          <w:rFonts w:hint="eastAsia" w:ascii="仿宋_GB2312" w:eastAsia="仿宋_GB2312"/>
          <w:color w:val="000000" w:themeColor="text1"/>
          <w:sz w:val="32"/>
          <w:szCs w:val="32"/>
          <w:highlight w:val="none"/>
          <w:lang w:val="en-US" w:eastAsia="zh-CN"/>
          <w14:textFill>
            <w14:solidFill>
              <w14:schemeClr w14:val="tx1"/>
            </w14:solidFill>
          </w14:textFill>
        </w:rPr>
        <w:t>2.14</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s="Times New Roman"/>
          <w:color w:val="auto"/>
          <w:sz w:val="32"/>
          <w:szCs w:val="32"/>
          <w:u w:val="none"/>
          <w:lang w:eastAsia="zh-CN"/>
        </w:rPr>
        <w:t>主要原因是按照全口径预算管理要求，将跨年度使用的项目经费及上年结转结余资金等非财政拨款项目经费纳入预算管理。</w:t>
      </w:r>
    </w:p>
    <w:p w14:paraId="616A500B">
      <w:pPr>
        <w:ind w:firstLine="555"/>
        <w:rPr>
          <w:rFonts w:hint="eastAsia" w:ascii="仿宋_GB2312" w:eastAsia="仿宋_GB2312"/>
          <w:sz w:val="32"/>
          <w:szCs w:val="32"/>
          <w:highlight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sz w:val="32"/>
          <w:szCs w:val="32"/>
          <w:highlight w:val="none"/>
        </w:rPr>
        <w:t>基本支出预算26026.</w:t>
      </w:r>
      <w:r>
        <w:rPr>
          <w:rFonts w:hint="eastAsia" w:ascii="仿宋_GB2312" w:eastAsia="仿宋_GB2312"/>
          <w:sz w:val="32"/>
          <w:szCs w:val="32"/>
          <w:highlight w:val="none"/>
          <w:lang w:val="en-US" w:eastAsia="zh-CN"/>
        </w:rPr>
        <w:t>40</w:t>
      </w:r>
      <w:r>
        <w:rPr>
          <w:rFonts w:hint="eastAsia" w:ascii="仿宋_GB2312" w:eastAsia="仿宋_GB2312"/>
          <w:sz w:val="32"/>
          <w:szCs w:val="32"/>
          <w:highlight w:val="none"/>
        </w:rPr>
        <w:t>万元，占总支出预算</w:t>
      </w:r>
      <w:r>
        <w:rPr>
          <w:rFonts w:hint="eastAsia" w:ascii="仿宋_GB2312" w:eastAsia="仿宋_GB2312"/>
          <w:sz w:val="32"/>
          <w:szCs w:val="32"/>
          <w:highlight w:val="none"/>
          <w:lang w:val="en-US" w:eastAsia="zh-CN"/>
        </w:rPr>
        <w:t>93.20</w:t>
      </w:r>
      <w:r>
        <w:rPr>
          <w:rFonts w:hint="eastAsia" w:ascii="仿宋_GB2312" w:eastAsia="仿宋_GB2312"/>
          <w:sz w:val="32"/>
          <w:szCs w:val="32"/>
          <w:highlight w:val="none"/>
        </w:rPr>
        <w:t>%，比202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年年初预算数</w:t>
      </w:r>
      <w:r>
        <w:rPr>
          <w:rFonts w:hint="eastAsia" w:ascii="仿宋_GB2312" w:eastAsia="仿宋_GB2312"/>
          <w:sz w:val="32"/>
          <w:szCs w:val="32"/>
          <w:highlight w:val="none"/>
        </w:rPr>
        <w:t>24833.66万元增加1192.7</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4.80</w:t>
      </w:r>
      <w:r>
        <w:rPr>
          <w:rFonts w:hint="eastAsia" w:ascii="仿宋_GB2312" w:eastAsia="仿宋_GB2312"/>
          <w:sz w:val="32"/>
          <w:szCs w:val="32"/>
          <w:highlight w:val="none"/>
        </w:rPr>
        <w:t>%。</w:t>
      </w:r>
    </w:p>
    <w:p w14:paraId="1523DACD">
      <w:pPr>
        <w:spacing w:line="560" w:lineRule="exact"/>
        <w:ind w:firstLine="640"/>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000000" w:themeColor="text1"/>
          <w:sz w:val="32"/>
          <w:szCs w:val="32"/>
          <w:highlight w:val="none"/>
          <w:u w:val="none"/>
          <w14:textFill>
            <w14:solidFill>
              <w14:schemeClr w14:val="tx1"/>
            </w14:solidFill>
          </w14:textFill>
        </w:rPr>
        <w:t>1898.7</w:t>
      </w:r>
      <w:r>
        <w:rPr>
          <w:rFonts w:hint="eastAsia" w:ascii="仿宋_GB2312" w:eastAsia="仿宋_GB2312"/>
          <w:color w:val="000000" w:themeColor="text1"/>
          <w:sz w:val="32"/>
          <w:szCs w:val="32"/>
          <w:highlight w:val="none"/>
          <w:u w:val="none"/>
          <w:lang w:val="en-US" w:eastAsia="zh-CN"/>
          <w14:textFill>
            <w14:solidFill>
              <w14:schemeClr w14:val="tx1"/>
            </w14:solidFill>
          </w14:textFill>
        </w:rPr>
        <w:t>4</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2024年年初预算数</w:t>
      </w:r>
      <w:r>
        <w:rPr>
          <w:rFonts w:hint="eastAsia" w:ascii="仿宋_GB2312" w:eastAsia="仿宋_GB2312"/>
          <w:color w:val="000000" w:themeColor="text1"/>
          <w:sz w:val="32"/>
          <w:szCs w:val="32"/>
          <w:highlight w:val="none"/>
          <w14:textFill>
            <w14:solidFill>
              <w14:schemeClr w14:val="tx1"/>
            </w14:solidFill>
          </w14:textFill>
        </w:rPr>
        <w:t>1678.7</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仿宋_GB2312" w:eastAsia="仿宋_GB2312"/>
          <w:color w:val="000000" w:themeColor="text1"/>
          <w:sz w:val="32"/>
          <w:szCs w:val="32"/>
          <w:highlight w:val="none"/>
          <w14:textFill>
            <w14:solidFill>
              <w14:schemeClr w14:val="tx1"/>
            </w14:solidFill>
          </w14:textFill>
        </w:rPr>
        <w:t>万元增加</w:t>
      </w:r>
      <w:r>
        <w:rPr>
          <w:rFonts w:hint="eastAsia" w:ascii="仿宋_GB2312" w:eastAsia="仿宋_GB2312"/>
          <w:color w:val="000000" w:themeColor="text1"/>
          <w:sz w:val="32"/>
          <w:szCs w:val="32"/>
          <w:highlight w:val="none"/>
          <w:lang w:val="en-US" w:eastAsia="zh-CN"/>
          <w14:textFill>
            <w14:solidFill>
              <w14:schemeClr w14:val="tx1"/>
            </w14:solidFill>
          </w14:textFill>
        </w:rPr>
        <w:t>220.01</w:t>
      </w:r>
      <w:r>
        <w:rPr>
          <w:rFonts w:hint="eastAsia" w:ascii="仿宋_GB2312" w:eastAsia="仿宋_GB2312"/>
          <w:color w:val="000000" w:themeColor="text1"/>
          <w:sz w:val="32"/>
          <w:szCs w:val="32"/>
          <w:highlight w:val="none"/>
          <w14:textFill>
            <w14:solidFill>
              <w14:schemeClr w14:val="tx1"/>
            </w14:solidFill>
          </w14:textFill>
        </w:rPr>
        <w:t>万元，增长</w:t>
      </w:r>
      <w:r>
        <w:rPr>
          <w:rFonts w:hint="eastAsia" w:ascii="仿宋_GB2312" w:eastAsia="仿宋_GB2312"/>
          <w:color w:val="000000" w:themeColor="text1"/>
          <w:sz w:val="32"/>
          <w:szCs w:val="32"/>
          <w:highlight w:val="none"/>
          <w:lang w:val="en-US" w:eastAsia="zh-CN"/>
          <w14:textFill>
            <w14:solidFill>
              <w14:schemeClr w14:val="tx1"/>
            </w14:solidFill>
          </w14:textFill>
        </w:rPr>
        <w:t>13.11</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p>
    <w:p w14:paraId="388935B9">
      <w:pPr>
        <w:spacing w:line="560" w:lineRule="exact"/>
        <w:ind w:firstLine="640"/>
        <w:rPr>
          <w:rFonts w:hint="eastAsia" w:ascii="仿宋_GB2312" w:eastAsia="仿宋_GB2312"/>
          <w:color w:val="auto"/>
          <w:sz w:val="32"/>
          <w:szCs w:val="32"/>
          <w:u w:val="none"/>
        </w:rPr>
      </w:pPr>
      <w:r>
        <w:rPr>
          <w:rFonts w:hint="eastAsia" w:ascii="仿宋_GB2312" w:eastAsia="仿宋_GB2312"/>
          <w:color w:val="auto"/>
          <w:sz w:val="32"/>
          <w:szCs w:val="32"/>
          <w:u w:val="none"/>
        </w:rPr>
        <w:t>其中：</w:t>
      </w:r>
    </w:p>
    <w:p w14:paraId="336C43C8">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7643FC1F">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7E0E9ACB">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14:paraId="7796AF53">
      <w:pPr>
        <w:pStyle w:val="2"/>
        <w:bidi w:val="0"/>
        <w:rPr>
          <w:rFonts w:hint="default" w:eastAsia="黑体"/>
          <w:b/>
          <w:bCs/>
          <w:color w:val="auto"/>
          <w:sz w:val="32"/>
          <w:highlight w:val="none"/>
          <w:u w:val="none"/>
          <w:lang w:eastAsia="zh-CN"/>
        </w:rPr>
      </w:pPr>
      <w:r>
        <w:rPr>
          <w:rFonts w:hint="eastAsia" w:ascii="仿宋_GB2312" w:eastAsia="仿宋_GB2312" w:cs="Droid Sans"/>
          <w:color w:val="auto"/>
          <w:sz w:val="32"/>
          <w:szCs w:val="32"/>
          <w:u w:val="none"/>
          <w:lang w:eastAsia="zh-CN"/>
        </w:rPr>
        <w:object>
          <v:shape id="_x0000_i1026" o:spt="75" type="#_x0000_t75" style="height:171.5pt;width:433.7pt;" o:ole="t" filled="f" o:preferrelative="t" stroked="f" coordsize="21600,21600">
            <v:path/>
            <v:fill on="f" focussize="0,0"/>
            <v:stroke on="f"/>
            <v:imagedata r:id="rId8" o:title=""/>
            <o:lock v:ext="edit" aspectratio="t"/>
            <w10:wrap type="none"/>
            <w10:anchorlock/>
          </v:shape>
          <o:OLEObject Type="Embed" ProgID="Excel.Chart.8" ShapeID="_x0000_i1026" DrawAspect="Content" ObjectID="_1468075726" r:id="rId7">
            <o:LockedField>false</o:LockedField>
          </o:OLEObject>
        </w:object>
      </w:r>
      <w:r>
        <w:rPr>
          <w:rFonts w:hint="eastAsia" w:ascii="仿宋_GB2312" w:eastAsia="仿宋_GB2312" w:cs="Droid Sans"/>
          <w:color w:val="auto"/>
          <w:sz w:val="32"/>
          <w:szCs w:val="32"/>
          <w:u w:val="none"/>
          <w:lang w:val="en-US" w:eastAsia="zh-CN"/>
        </w:rPr>
        <w:t xml:space="preserve">           </w:t>
      </w:r>
      <w:r>
        <w:rPr>
          <w:rFonts w:hint="eastAsia" w:ascii="仿宋_GB2312" w:eastAsia="仿宋_GB2312"/>
          <w:b/>
          <w:bCs/>
          <w:color w:val="auto"/>
          <w:sz w:val="32"/>
          <w:szCs w:val="32"/>
          <w:highlight w:val="none"/>
          <w:u w:val="none"/>
          <w:lang w:val="en-US" w:eastAsia="zh-CN"/>
        </w:rPr>
        <w:t>图2：基本支出和项目支出情况</w:t>
      </w:r>
    </w:p>
    <w:p w14:paraId="7AEED5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楷体_GB2312" w:hAnsi="楷体_GB2312" w:eastAsia="楷体_GB2312" w:cs="楷体_GB2312"/>
          <w:color w:val="000000"/>
          <w:sz w:val="32"/>
          <w:szCs w:val="32"/>
          <w:highlight w:val="none"/>
          <w:u w:val="none"/>
          <w:lang w:eastAsia="zh-CN"/>
        </w:rPr>
      </w:pPr>
    </w:p>
    <w:p w14:paraId="2657F5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（三）年终结转结余资金</w:t>
      </w:r>
      <w:r>
        <w:rPr>
          <w:rFonts w:hint="eastAsia" w:ascii="楷体_GB2312" w:hAnsi="楷体_GB2312" w:eastAsia="楷体_GB2312" w:cs="楷体_GB2312"/>
          <w:color w:val="000000"/>
          <w:sz w:val="32"/>
          <w:szCs w:val="32"/>
          <w:highlight w:val="none"/>
          <w:u w:val="none"/>
          <w:lang w:val="en-US" w:eastAsia="zh-CN"/>
        </w:rPr>
        <w:t>1198.00</w:t>
      </w:r>
      <w:r>
        <w:rPr>
          <w:rFonts w:hint="eastAsia" w:ascii="楷体_GB2312" w:hAnsi="楷体_GB2312" w:eastAsia="楷体_GB2312" w:cs="楷体_GB2312"/>
          <w:color w:val="000000"/>
          <w:sz w:val="32"/>
          <w:szCs w:val="32"/>
          <w:highlight w:val="none"/>
          <w:u w:val="none"/>
          <w:lang w:eastAsia="zh-CN"/>
        </w:rPr>
        <w:t>万元</w:t>
      </w:r>
    </w:p>
    <w:p w14:paraId="728E80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2DBF7C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635592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color w:val="auto"/>
          <w:sz w:val="32"/>
          <w:szCs w:val="32"/>
          <w:u w:val="none"/>
          <w:lang w:eastAsia="zh-CN"/>
        </w:rPr>
      </w:pPr>
      <w:r>
        <w:rPr>
          <w:rFonts w:hint="eastAsia" w:ascii="仿宋_GB2312" w:eastAsia="仿宋_GB2312" w:cs="Times New Roman"/>
          <w:color w:val="auto"/>
          <w:sz w:val="32"/>
          <w:szCs w:val="32"/>
          <w:u w:val="none"/>
          <w:lang w:eastAsia="zh-CN"/>
        </w:rPr>
        <w:t>北京教育考试院因公出国（境）费用、公务接待费、公务用车购置和运行维护费开支单位包括</w:t>
      </w:r>
      <w:r>
        <w:rPr>
          <w:rFonts w:hint="eastAsia" w:ascii="仿宋_GB2312" w:eastAsia="仿宋_GB2312" w:cs="Times New Roman"/>
          <w:color w:val="auto"/>
          <w:sz w:val="32"/>
          <w:szCs w:val="32"/>
          <w:u w:val="none"/>
          <w:lang w:val="en-US" w:eastAsia="zh-CN"/>
        </w:rPr>
        <w:t>1</w:t>
      </w:r>
      <w:r>
        <w:rPr>
          <w:rFonts w:hint="eastAsia" w:ascii="仿宋_GB2312" w:eastAsia="仿宋_GB2312" w:cs="Times New Roman"/>
          <w:color w:val="auto"/>
          <w:sz w:val="32"/>
          <w:szCs w:val="32"/>
          <w:u w:val="none"/>
          <w:lang w:eastAsia="zh-CN"/>
        </w:rPr>
        <w:t>个所属单位。其他所属单位202</w:t>
      </w:r>
      <w:r>
        <w:rPr>
          <w:rFonts w:hint="eastAsia" w:ascii="仿宋_GB2312" w:eastAsia="仿宋_GB2312" w:cs="Times New Roman"/>
          <w:color w:val="auto"/>
          <w:sz w:val="32"/>
          <w:szCs w:val="32"/>
          <w:u w:val="none"/>
          <w:lang w:val="en-US" w:eastAsia="zh-CN"/>
        </w:rPr>
        <w:t>5</w:t>
      </w:r>
      <w:r>
        <w:rPr>
          <w:rFonts w:hint="eastAsia" w:ascii="仿宋_GB2312" w:eastAsia="仿宋_GB2312" w:cs="Times New Roman"/>
          <w:color w:val="auto"/>
          <w:sz w:val="32"/>
          <w:szCs w:val="32"/>
          <w:u w:val="none"/>
          <w:lang w:eastAsia="zh-CN"/>
        </w:rPr>
        <w:t>年无财政拨款安排的“三公”经费预算。</w:t>
      </w:r>
    </w:p>
    <w:p w14:paraId="020C0CF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财政拨款“三公”经费预算情况说明</w:t>
      </w:r>
    </w:p>
    <w:p w14:paraId="5E56D8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财政拨款“三公”经费预算19.75万元，比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财政拨款“三公”经费预算减少</w:t>
      </w:r>
      <w:r>
        <w:rPr>
          <w:rFonts w:hint="eastAsia" w:ascii="仿宋_GB2312" w:eastAsia="仿宋_GB2312"/>
          <w:color w:val="auto"/>
          <w:sz w:val="32"/>
          <w:szCs w:val="32"/>
          <w:u w:val="none"/>
          <w:lang w:val="en-US" w:eastAsia="zh-CN"/>
        </w:rPr>
        <w:t>20</w:t>
      </w:r>
      <w:r>
        <w:rPr>
          <w:rFonts w:hint="eastAsia" w:ascii="仿宋_GB2312" w:eastAsia="仿宋_GB2312"/>
          <w:color w:val="auto"/>
          <w:sz w:val="32"/>
          <w:szCs w:val="32"/>
          <w:u w:val="none"/>
        </w:rPr>
        <w:t>.</w:t>
      </w:r>
      <w:r>
        <w:rPr>
          <w:rFonts w:hint="eastAsia" w:ascii="仿宋_GB2312" w:eastAsia="仿宋_GB2312"/>
          <w:color w:val="auto"/>
          <w:sz w:val="32"/>
          <w:szCs w:val="32"/>
          <w:u w:val="none"/>
          <w:lang w:val="en-US" w:eastAsia="zh-CN"/>
        </w:rPr>
        <w:t>13</w:t>
      </w:r>
      <w:r>
        <w:rPr>
          <w:rFonts w:hint="eastAsia" w:ascii="仿宋_GB2312" w:eastAsia="仿宋_GB2312"/>
          <w:color w:val="auto"/>
          <w:sz w:val="32"/>
          <w:szCs w:val="32"/>
          <w:u w:val="none"/>
        </w:rPr>
        <w:t>万元。其中：</w:t>
      </w:r>
    </w:p>
    <w:p w14:paraId="2A713D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与2024年持平</w:t>
      </w:r>
      <w:r>
        <w:rPr>
          <w:rFonts w:hint="eastAsia" w:ascii="仿宋_GB2312" w:eastAsia="仿宋_GB2312"/>
          <w:color w:val="auto"/>
          <w:sz w:val="32"/>
          <w:szCs w:val="32"/>
          <w:u w:val="none"/>
        </w:rPr>
        <w:t>。</w:t>
      </w:r>
    </w:p>
    <w:p w14:paraId="0FE18F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4.00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4.40</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0.40</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eastAsia="zh-CN"/>
        </w:rPr>
        <w:t>落实政府“过紧日子”要求，进一步压减一般性支出。</w:t>
      </w:r>
    </w:p>
    <w:p w14:paraId="098151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预算数15.75万元，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万元，主要原因：</w:t>
      </w:r>
      <w:r>
        <w:rPr>
          <w:rFonts w:hint="eastAsia" w:ascii="仿宋_GB2312" w:eastAsia="仿宋_GB2312" w:cs="Times New Roman"/>
          <w:color w:val="auto"/>
          <w:sz w:val="32"/>
          <w:szCs w:val="32"/>
          <w:u w:val="none"/>
          <w:lang w:eastAsia="zh-CN"/>
        </w:rPr>
        <w:t>厉行勤俭节约，严格控制公务用车更新</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15.75</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8.08</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2.83</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2.80</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2.04</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17.50</w:t>
      </w:r>
      <w:r>
        <w:rPr>
          <w:rFonts w:hint="eastAsia" w:ascii="仿宋_GB2312" w:eastAsia="仿宋_GB2312"/>
          <w:color w:val="auto"/>
          <w:sz w:val="32"/>
          <w:szCs w:val="32"/>
          <w:u w:val="none"/>
        </w:rPr>
        <w:t>万元增加减少</w:t>
      </w:r>
      <w:r>
        <w:rPr>
          <w:rFonts w:hint="eastAsia" w:ascii="仿宋_GB2312" w:eastAsia="仿宋_GB2312"/>
          <w:color w:val="auto"/>
          <w:sz w:val="32"/>
          <w:szCs w:val="32"/>
          <w:u w:val="none"/>
          <w:lang w:val="en-US" w:eastAsia="zh-CN"/>
        </w:rPr>
        <w:t>1.75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eastAsia="仿宋_GB2312" w:cs="Droid Sans"/>
          <w:color w:val="auto"/>
          <w:sz w:val="32"/>
          <w:szCs w:val="32"/>
          <w:u w:val="none"/>
        </w:rPr>
        <w:t>落实政府“过紧日子”要求，进一步压减一般性支出。</w:t>
      </w:r>
    </w:p>
    <w:p w14:paraId="3FD5E9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546305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0D1629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1F3864"/>
          <w:sz w:val="24"/>
        </w:rPr>
      </w:pPr>
      <w:r>
        <w:rPr>
          <w:rFonts w:hint="eastAsia" w:ascii="仿宋_GB2312" w:eastAsia="仿宋_GB2312"/>
          <w:color w:val="auto"/>
          <w:sz w:val="32"/>
          <w:szCs w:val="32"/>
          <w:u w:val="none"/>
          <w:lang w:eastAsia="zh-CN"/>
        </w:rPr>
        <w:t>2025年北京教育考试院</w:t>
      </w:r>
      <w:r>
        <w:rPr>
          <w:rFonts w:hint="eastAsia" w:ascii="仿宋_GB2312" w:eastAsia="仿宋_GB2312"/>
          <w:color w:val="auto"/>
          <w:sz w:val="32"/>
          <w:szCs w:val="32"/>
          <w:u w:val="none"/>
        </w:rPr>
        <w:t>政府采购预算总额2046.79万元，其中：政府采购货物预算236.81万元，政府采购工程预算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万元，政府采购服务预算1809.9</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w:t>
      </w:r>
    </w:p>
    <w:p w14:paraId="6767F6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5C81AD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本单位2025年无政府购买服务预算。</w:t>
      </w:r>
    </w:p>
    <w:p w14:paraId="0FDFFF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7C3F21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color w:val="auto"/>
          <w:sz w:val="32"/>
          <w:szCs w:val="32"/>
          <w:u w:val="none"/>
          <w:lang w:eastAsia="zh-CN"/>
        </w:rPr>
      </w:pPr>
      <w:r>
        <w:rPr>
          <w:rFonts w:hint="eastAsia" w:ascii="仿宋_GB2312" w:eastAsia="仿宋_GB2312" w:cs="Times New Roman"/>
          <w:color w:val="auto"/>
          <w:sz w:val="32"/>
          <w:szCs w:val="32"/>
          <w:u w:val="none"/>
          <w:lang w:eastAsia="zh-CN"/>
        </w:rPr>
        <w:t>我单位不在机关运行经费统计范围之内。</w:t>
      </w:r>
    </w:p>
    <w:p w14:paraId="458CFC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7D4B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1F3864"/>
          <w:sz w:val="24"/>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北京教育考试院</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14</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14</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%。填报绩效目标的项目支出预算1898.7</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w:t>
      </w:r>
    </w:p>
    <w:p w14:paraId="550501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4D2901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5D6C36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7368FA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08BD1B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3DD92D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lang w:val="en-US" w:eastAsia="zh-CN"/>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北京教育考试院</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rPr>
        <w:t>台，共计147</w:t>
      </w:r>
      <w:r>
        <w:rPr>
          <w:rFonts w:hint="eastAsia" w:ascii="仿宋_GB2312" w:eastAsia="仿宋_GB2312"/>
          <w:color w:val="000000"/>
          <w:sz w:val="32"/>
          <w:szCs w:val="32"/>
          <w:u w:val="none"/>
          <w:lang w:val="en-US" w:eastAsia="zh-CN"/>
        </w:rPr>
        <w:t>.</w:t>
      </w:r>
      <w:r>
        <w:rPr>
          <w:rFonts w:hint="eastAsia" w:ascii="仿宋_GB2312" w:eastAsia="仿宋_GB2312"/>
          <w:color w:val="000000"/>
          <w:sz w:val="32"/>
          <w:szCs w:val="32"/>
          <w:u w:val="none"/>
        </w:rPr>
        <w:t>39万元；单位价值50万元以上的设备</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台（套）、共计425</w:t>
      </w:r>
      <w:r>
        <w:rPr>
          <w:rFonts w:hint="eastAsia" w:ascii="仿宋_GB2312" w:eastAsia="仿宋_GB2312"/>
          <w:color w:val="000000"/>
          <w:sz w:val="32"/>
          <w:szCs w:val="32"/>
          <w:u w:val="none"/>
          <w:lang w:val="en-US" w:eastAsia="zh-CN"/>
        </w:rPr>
        <w:t>.</w:t>
      </w:r>
      <w:r>
        <w:rPr>
          <w:rFonts w:hint="eastAsia" w:ascii="仿宋_GB2312" w:eastAsia="仿宋_GB2312"/>
          <w:color w:val="000000"/>
          <w:sz w:val="32"/>
          <w:szCs w:val="32"/>
          <w:u w:val="none"/>
        </w:rPr>
        <w:t>2</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w:t>
      </w:r>
      <w:bookmarkStart w:id="0" w:name="_GoBack"/>
      <w:bookmarkEnd w:id="0"/>
      <w:r>
        <w:rPr>
          <w:rFonts w:hint="eastAsia" w:ascii="仿宋_GB2312" w:eastAsia="仿宋_GB2312"/>
          <w:color w:val="000000"/>
          <w:sz w:val="32"/>
          <w:szCs w:val="32"/>
          <w:u w:val="none"/>
          <w:lang w:val="en-US" w:eastAsia="zh-CN"/>
        </w:rPr>
        <w:t>以上的设备0台（套），共计0万元。</w:t>
      </w:r>
    </w:p>
    <w:p w14:paraId="018FB8BA">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eastAsia="黑体"/>
          <w:color w:val="000000"/>
          <w:sz w:val="32"/>
          <w:szCs w:val="32"/>
          <w:u w:val="none"/>
        </w:rPr>
      </w:pPr>
      <w:r>
        <w:rPr>
          <w:rFonts w:hint="eastAsia" w:ascii="黑体" w:eastAsia="黑体"/>
          <w:color w:val="000000"/>
          <w:sz w:val="32"/>
          <w:szCs w:val="32"/>
          <w:u w:val="none"/>
        </w:rPr>
        <w:t>名词解释</w:t>
      </w:r>
    </w:p>
    <w:p w14:paraId="3D97B5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31B9E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13FB90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58B880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7C83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p>
    <w:p w14:paraId="1B940B7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000000"/>
          <w:sz w:val="36"/>
          <w:szCs w:val="36"/>
          <w:u w:val="none"/>
        </w:rPr>
      </w:pPr>
    </w:p>
    <w:p w14:paraId="2970BF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eastAsia="仿宋_GB2312"/>
          <w:color w:val="000000"/>
          <w:sz w:val="32"/>
          <w:szCs w:val="32"/>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5203A2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北京教育考试院2025年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6DA1806F">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4CDBEA-2D4C-4F2D-8440-2F23C447F6A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BED96E21-F934-4547-BF4C-63A4665CA33E}"/>
  </w:font>
  <w:font w:name="Droid Sans">
    <w:altName w:val="微软雅黑"/>
    <w:panose1 w:val="00000000000000000000"/>
    <w:charset w:val="00"/>
    <w:family w:val="auto"/>
    <w:pitch w:val="default"/>
    <w:sig w:usb0="00000000" w:usb1="00000000" w:usb2="00000000" w:usb3="00000000" w:csb0="00040001" w:csb1="00000000"/>
    <w:embedRegular r:id="rId3" w:fontKey="{BB7454F5-E1A9-42B6-89FC-29754CE47B4F}"/>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4" w:fontKey="{64AF5006-36FF-45C5-AB7B-C94F76AE75EA}"/>
  </w:font>
  <w:font w:name="仿宋_GB2312">
    <w:panose1 w:val="02010609030101010101"/>
    <w:charset w:val="86"/>
    <w:family w:val="modern"/>
    <w:pitch w:val="default"/>
    <w:sig w:usb0="00000001" w:usb1="080E0000" w:usb2="00000000" w:usb3="00000000" w:csb0="00040000" w:csb1="00000000"/>
    <w:embedRegular r:id="rId5" w:fontKey="{0AC4BFAB-FCDE-4E3D-879A-E913C57FD1A4}"/>
  </w:font>
  <w:font w:name="仿宋">
    <w:panose1 w:val="02010609060101010101"/>
    <w:charset w:val="86"/>
    <w:family w:val="modern"/>
    <w:pitch w:val="default"/>
    <w:sig w:usb0="800002BF" w:usb1="38CF7CFA" w:usb2="00000016" w:usb3="00000000" w:csb0="00040001" w:csb1="00000000"/>
    <w:embedRegular r:id="rId6" w:fontKey="{B8AE8F1A-C5C3-4BB1-8516-C51E5448A8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7877E">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591AB2">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E591AB2">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1D1D4FEC">
    <w:pPr>
      <w:pStyle w:val="6"/>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CE202D"/>
    <w:multiLevelType w:val="singleLevel"/>
    <w:tmpl w:val="FACE202D"/>
    <w:lvl w:ilvl="0" w:tentative="0">
      <w:start w:val="2"/>
      <w:numFmt w:val="chineseCounting"/>
      <w:suff w:val="nothing"/>
      <w:lvlText w:val="（%1）"/>
      <w:lvlJc w:val="left"/>
      <w:rPr>
        <w:rFonts w:hint="eastAsia"/>
      </w:rPr>
    </w:lvl>
  </w:abstractNum>
  <w:abstractNum w:abstractNumId="1">
    <w:nsid w:val="249FCA78"/>
    <w:multiLevelType w:val="singleLevel"/>
    <w:tmpl w:val="249FCA78"/>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797F79"/>
    <w:rsid w:val="0032325C"/>
    <w:rsid w:val="0052142D"/>
    <w:rsid w:val="006F3CD8"/>
    <w:rsid w:val="008A2E8D"/>
    <w:rsid w:val="009F505C"/>
    <w:rsid w:val="01633E9B"/>
    <w:rsid w:val="01DE318D"/>
    <w:rsid w:val="0A2166A1"/>
    <w:rsid w:val="0EFFF08B"/>
    <w:rsid w:val="0F491593"/>
    <w:rsid w:val="14F7762D"/>
    <w:rsid w:val="1556FFE7"/>
    <w:rsid w:val="18395CFC"/>
    <w:rsid w:val="1B7C6CA6"/>
    <w:rsid w:val="1D7B2BEA"/>
    <w:rsid w:val="1E2F585A"/>
    <w:rsid w:val="1FB9016F"/>
    <w:rsid w:val="1FE6D21C"/>
    <w:rsid w:val="22087AAA"/>
    <w:rsid w:val="227B6E3E"/>
    <w:rsid w:val="23735A5C"/>
    <w:rsid w:val="245E07C6"/>
    <w:rsid w:val="263A0229"/>
    <w:rsid w:val="27D8088F"/>
    <w:rsid w:val="280766F8"/>
    <w:rsid w:val="28565954"/>
    <w:rsid w:val="2DA30D70"/>
    <w:rsid w:val="2F2A2F12"/>
    <w:rsid w:val="2F731B75"/>
    <w:rsid w:val="2F7EA178"/>
    <w:rsid w:val="2FEFCACA"/>
    <w:rsid w:val="2FF31CCC"/>
    <w:rsid w:val="30FB5FF0"/>
    <w:rsid w:val="33BF5DDC"/>
    <w:rsid w:val="342C61EA"/>
    <w:rsid w:val="37BFBFEE"/>
    <w:rsid w:val="37FD2E23"/>
    <w:rsid w:val="3AEE7FDD"/>
    <w:rsid w:val="3B1D5808"/>
    <w:rsid w:val="3B9027E1"/>
    <w:rsid w:val="3BFE8EC0"/>
    <w:rsid w:val="3D3B750B"/>
    <w:rsid w:val="3DFB85D7"/>
    <w:rsid w:val="3DFFFEEB"/>
    <w:rsid w:val="3E578A4D"/>
    <w:rsid w:val="3E7746F2"/>
    <w:rsid w:val="3EAFE38B"/>
    <w:rsid w:val="3EFB023F"/>
    <w:rsid w:val="3F5B7215"/>
    <w:rsid w:val="3F6FC1FB"/>
    <w:rsid w:val="3F730350"/>
    <w:rsid w:val="3F76647A"/>
    <w:rsid w:val="3F7D5AD8"/>
    <w:rsid w:val="3FA9412F"/>
    <w:rsid w:val="3FBA30DB"/>
    <w:rsid w:val="3FBFE16E"/>
    <w:rsid w:val="3FF7F9C0"/>
    <w:rsid w:val="3FFBC816"/>
    <w:rsid w:val="433E759E"/>
    <w:rsid w:val="438D45E6"/>
    <w:rsid w:val="45236DFE"/>
    <w:rsid w:val="48D44964"/>
    <w:rsid w:val="4A7344BD"/>
    <w:rsid w:val="4CD68066"/>
    <w:rsid w:val="4E67CE40"/>
    <w:rsid w:val="4F6D150F"/>
    <w:rsid w:val="4FEE37C7"/>
    <w:rsid w:val="4FFB9147"/>
    <w:rsid w:val="51782617"/>
    <w:rsid w:val="517E78AA"/>
    <w:rsid w:val="533B1B4E"/>
    <w:rsid w:val="53DF3E7F"/>
    <w:rsid w:val="545DF6FA"/>
    <w:rsid w:val="55DE48F6"/>
    <w:rsid w:val="56C20A54"/>
    <w:rsid w:val="57ADBE82"/>
    <w:rsid w:val="57E332DD"/>
    <w:rsid w:val="57E9CD93"/>
    <w:rsid w:val="57EB425A"/>
    <w:rsid w:val="59D7A30C"/>
    <w:rsid w:val="5B8C7C49"/>
    <w:rsid w:val="5BEE7D82"/>
    <w:rsid w:val="5BFC36A8"/>
    <w:rsid w:val="5F5F35ED"/>
    <w:rsid w:val="5FB4B9F0"/>
    <w:rsid w:val="5FBA6CF8"/>
    <w:rsid w:val="5FD532B6"/>
    <w:rsid w:val="5FE95128"/>
    <w:rsid w:val="5FF3352E"/>
    <w:rsid w:val="5FFFD6B5"/>
    <w:rsid w:val="61DF4735"/>
    <w:rsid w:val="67BF653D"/>
    <w:rsid w:val="67FBD21B"/>
    <w:rsid w:val="68421AA4"/>
    <w:rsid w:val="69CDDFC6"/>
    <w:rsid w:val="6AFBD4E9"/>
    <w:rsid w:val="6B196F1A"/>
    <w:rsid w:val="6BFE087F"/>
    <w:rsid w:val="6BFF83C2"/>
    <w:rsid w:val="6C5F4E7D"/>
    <w:rsid w:val="6CCF40BB"/>
    <w:rsid w:val="6D3F2E98"/>
    <w:rsid w:val="6DFE07CC"/>
    <w:rsid w:val="6DFFB2B9"/>
    <w:rsid w:val="6E8126B3"/>
    <w:rsid w:val="6ECB6C3E"/>
    <w:rsid w:val="6F3A9571"/>
    <w:rsid w:val="6FCDA027"/>
    <w:rsid w:val="6FDC8289"/>
    <w:rsid w:val="71FF8133"/>
    <w:rsid w:val="729DB731"/>
    <w:rsid w:val="732F9AB6"/>
    <w:rsid w:val="73A5D6F8"/>
    <w:rsid w:val="740B7336"/>
    <w:rsid w:val="74FD455A"/>
    <w:rsid w:val="75D907AF"/>
    <w:rsid w:val="763ED7FC"/>
    <w:rsid w:val="767F6AF6"/>
    <w:rsid w:val="767FBCC8"/>
    <w:rsid w:val="76FE24ED"/>
    <w:rsid w:val="7744037E"/>
    <w:rsid w:val="77773C62"/>
    <w:rsid w:val="777F4630"/>
    <w:rsid w:val="77DF7EB6"/>
    <w:rsid w:val="77FABEEF"/>
    <w:rsid w:val="77FC8AD8"/>
    <w:rsid w:val="77FFC18C"/>
    <w:rsid w:val="77FFEDC5"/>
    <w:rsid w:val="78CE4BBA"/>
    <w:rsid w:val="78F52093"/>
    <w:rsid w:val="797F48DA"/>
    <w:rsid w:val="79CFCA19"/>
    <w:rsid w:val="7AF019CD"/>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Date"/>
    <w:basedOn w:val="1"/>
    <w:next w:val="1"/>
    <w:qFormat/>
    <w:uiPriority w:val="0"/>
    <w:rPr>
      <w:rFonts w:eastAsia="楷体_GB2312" w:cs="Droid Sans"/>
      <w:sz w:val="32"/>
      <w:szCs w:val="20"/>
      <w:lang w:bidi="ar-SA"/>
    </w:rPr>
  </w:style>
  <w:style w:type="paragraph" w:styleId="5">
    <w:name w:val="Balloon Text"/>
    <w:basedOn w:val="1"/>
    <w:link w:val="11"/>
    <w:qFormat/>
    <w:uiPriority w:val="0"/>
    <w:rPr>
      <w:sz w:val="18"/>
      <w:szCs w:val="18"/>
    </w:rPr>
  </w:style>
  <w:style w:type="paragraph" w:styleId="6">
    <w:name w:val="footer"/>
    <w:basedOn w:val="1"/>
    <w:link w:val="12"/>
    <w:qFormat/>
    <w:uiPriority w:val="99"/>
    <w:pPr>
      <w:tabs>
        <w:tab w:val="center" w:pos="4153"/>
        <w:tab w:val="right" w:pos="8306"/>
      </w:tabs>
      <w:snapToGrid w:val="0"/>
      <w:jc w:val="left"/>
    </w:pPr>
    <w:rPr>
      <w:sz w:val="18"/>
      <w:szCs w:val="20"/>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批注框文本 Char"/>
    <w:link w:val="5"/>
    <w:qFormat/>
    <w:uiPriority w:val="0"/>
    <w:rPr>
      <w:rFonts w:ascii="Times New Roman" w:hAnsi="Times New Roman"/>
      <w:kern w:val="2"/>
      <w:sz w:val="18"/>
      <w:szCs w:val="18"/>
    </w:rPr>
  </w:style>
  <w:style w:type="character" w:customStyle="1" w:styleId="12">
    <w:name w:val="页脚 Char"/>
    <w:link w:val="6"/>
    <w:qFormat/>
    <w:uiPriority w:val="99"/>
    <w:rPr>
      <w:rFonts w:ascii="Times New Roman" w:hAnsi="Times New Roman"/>
      <w:kern w:val="2"/>
      <w:sz w:val="18"/>
    </w:rPr>
  </w:style>
  <w:style w:type="character" w:customStyle="1" w:styleId="13">
    <w:name w:val="页眉 Char"/>
    <w:link w:val="7"/>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265</Words>
  <Characters>274</Characters>
  <Lines>108</Lines>
  <Paragraphs>30</Paragraphs>
  <TotalTime>134</TotalTime>
  <ScaleCrop>false</ScaleCrop>
  <LinksUpToDate>false</LinksUpToDate>
  <CharactersWithSpaces>295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2022-02-10T01:48:00Z</dcterms:created>
  <dc:creator>马荣丽</dc:creator>
  <cp:lastModifiedBy>李光辉</cp:lastModifiedBy>
  <cp:lastPrinted>2025-02-06T09:19:00Z</cp:lastPrinted>
  <dcterms:modified xsi:type="dcterms:W3CDTF">2025-03-04T06:48:53Z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1DDAA1EB7C644691BB713519217481EB_13</vt:lpwstr>
  </property>
  <property fmtid="{D5CDD505-2E9C-101B-9397-08002B2CF9AE}" pid="4" name="KSOTemplateDocerSaveRecord">
    <vt:lpwstr>eyJoZGlkIjoiYTRlNThlNzY5ZGVlZTc5MmQ0YjQyYWNhOGEwY2U1MjIiLCJ1c2VySWQiOiIxNjE5NTI4NTkyIn0=</vt:lpwstr>
  </property>
</Properties>
</file>