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北京高校大学生就业创业指导中心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44"/>
          <w:szCs w:val="44"/>
        </w:rPr>
        <w:t>202</w:t>
      </w:r>
      <w:r>
        <w:rPr>
          <w:rFonts w:hint="eastAsia" w:ascii="方正小标宋简体" w:eastAsia="方正小标宋简体"/>
          <w:color w:val="000000"/>
          <w:sz w:val="44"/>
          <w:szCs w:val="44"/>
          <w:lang w:val="en-US" w:eastAsia="zh-CN"/>
        </w:rPr>
        <w:t>5</w:t>
      </w:r>
      <w:r>
        <w:rPr>
          <w:rFonts w:hint="eastAsia" w:ascii="方正小标宋简体" w:eastAsia="方正小标宋简体"/>
          <w:color w:val="000000"/>
          <w:sz w:val="44"/>
          <w:szCs w:val="44"/>
        </w:rPr>
        <w:t>年</w:t>
      </w:r>
      <w:r>
        <w:rPr>
          <w:rFonts w:hint="eastAsia" w:ascii="方正小标宋简体" w:eastAsia="方正小标宋简体"/>
          <w:color w:val="000000"/>
          <w:sz w:val="44"/>
          <w:szCs w:val="44"/>
          <w:lang w:eastAsia="zh-CN"/>
        </w:rPr>
        <w:t>度单位</w:t>
      </w:r>
      <w:r>
        <w:rPr>
          <w:rFonts w:hint="eastAsia" w:ascii="方正小标宋简体" w:eastAsia="方正小标宋简体"/>
          <w:color w:val="000000"/>
          <w:sz w:val="44"/>
          <w:szCs w:val="44"/>
        </w:rPr>
        <w:t>预算信息公开</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二、收入总表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pPr>
      <w:r>
        <w:rPr>
          <w:rFonts w:hint="eastAsia" w:ascii="仿宋_GB2312" w:hAnsi="仿宋_GB2312" w:eastAsia="仿宋_GB2312" w:cs="仿宋_GB2312"/>
          <w:color w:val="000000"/>
          <w:spacing w:val="-18"/>
          <w:kern w:val="0"/>
          <w:sz w:val="32"/>
          <w:szCs w:val="32"/>
          <w:lang w:val="zh-CN"/>
        </w:rPr>
        <w:t>十三、项目支出绩</w:t>
      </w:r>
      <w:r>
        <w:rPr>
          <w:rFonts w:hint="eastAsia" w:ascii="仿宋_GB2312" w:hAnsi="仿宋_GB2312" w:eastAsia="仿宋_GB2312" w:cs="仿宋_GB2312"/>
          <w:color w:val="000000"/>
          <w:kern w:val="0"/>
          <w:sz w:val="32"/>
          <w:szCs w:val="32"/>
          <w:lang w:val="zh-CN"/>
        </w:rPr>
        <w:t>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年度单位预算情况说明</w:t>
      </w:r>
    </w:p>
    <w:p>
      <w:pPr>
        <w:spacing w:line="360" w:lineRule="auto"/>
        <w:rPr>
          <w:rFonts w:ascii="仿宋_GB2312"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eastAsia="黑体"/>
          <w:color w:val="000000"/>
          <w:sz w:val="32"/>
          <w:szCs w:val="32"/>
        </w:rPr>
      </w:pPr>
      <w:r>
        <w:rPr>
          <w:rFonts w:hint="eastAsia" w:ascii="黑体" w:eastAsia="黑体"/>
          <w:color w:val="000000"/>
          <w:sz w:val="32"/>
          <w:szCs w:val="32"/>
        </w:rPr>
        <w:t>一、单位情况说明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uppressAutoHyphens/>
        <w:ind w:firstLine="555"/>
        <w:outlineLvl w:val="0"/>
        <w:rPr>
          <w:rFonts w:ascii="仿宋_GB2312" w:hAnsi="Calibri" w:eastAsia="仿宋_GB2312" w:cs="Times New Roman"/>
          <w:sz w:val="32"/>
          <w:szCs w:val="32"/>
        </w:rPr>
      </w:pPr>
      <w:r>
        <w:rPr>
          <w:rFonts w:hint="eastAsia" w:ascii="仿宋_GB2312" w:eastAsia="仿宋_GB2312"/>
          <w:sz w:val="32"/>
          <w:szCs w:val="32"/>
        </w:rPr>
        <w:t>北京高校大学生就业创业指导中心</w:t>
      </w:r>
      <w:r>
        <w:rPr>
          <w:rFonts w:hint="eastAsia" w:ascii="仿宋_GB2312" w:eastAsia="仿宋_GB2312"/>
          <w:sz w:val="32"/>
          <w:szCs w:val="32"/>
          <w:lang w:val="en-US" w:eastAsia="zh-CN"/>
        </w:rPr>
        <w:t>为</w:t>
      </w:r>
      <w:r>
        <w:rPr>
          <w:rFonts w:hint="eastAsia" w:ascii="仿宋_GB2312" w:eastAsia="仿宋_GB2312"/>
          <w:sz w:val="32"/>
          <w:szCs w:val="32"/>
        </w:rPr>
        <w:t>公益二类事业单位，</w:t>
      </w:r>
      <w:r>
        <w:rPr>
          <w:rFonts w:hint="eastAsia" w:ascii="仿宋_GB2312" w:eastAsia="仿宋_GB2312"/>
          <w:sz w:val="32"/>
          <w:szCs w:val="32"/>
          <w:lang w:val="en-US" w:eastAsia="zh-CN"/>
        </w:rPr>
        <w:t>主要职责为</w:t>
      </w:r>
      <w:r>
        <w:rPr>
          <w:rFonts w:hint="eastAsia" w:ascii="仿宋_GB2312" w:eastAsia="仿宋_GB2312"/>
          <w:sz w:val="32"/>
          <w:szCs w:val="32"/>
        </w:rPr>
        <w:t>负责北京高校大学生就业创业指导、服务等工作。包括：</w:t>
      </w:r>
      <w:r>
        <w:rPr>
          <w:rFonts w:hint="eastAsia" w:ascii="仿宋_GB2312" w:hAnsi="Calibri" w:eastAsia="仿宋_GB2312" w:cs="Times New Roman"/>
          <w:sz w:val="32"/>
          <w:szCs w:val="32"/>
        </w:rPr>
        <w:t>宣传贯彻落实国家和北京市就业创业方针、政策，建设管理北京高校毕业生就业创业信息化服务平台；负责就业和创新创业指导与培训，指导高校就业创业课程、工作队伍建设；负责就业监测、就业创业调查研究、大学生就业市场建设与运营，举办线上线下招聘活动；负责北京高校大学生创业园建设与管理、创业（团队）资源开发与利用；承担学籍学历管理、大学生征兵工作；承担北京市积分落户教育背景核查、学历认证服务工作；完成北京市委教育工委市教委交办的其他任务。</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机构设置情况</w:t>
      </w:r>
    </w:p>
    <w:p>
      <w:pPr>
        <w:keepNext w:val="0"/>
        <w:keepLines w:val="0"/>
        <w:widowControl/>
        <w:suppressLineNumbers w:val="0"/>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北京高校大学生就业创业指导中心内设</w:t>
      </w:r>
      <w:r>
        <w:rPr>
          <w:rFonts w:hint="eastAsia" w:ascii="仿宋_GB2312" w:hAnsi="Calibri" w:eastAsia="仿宋_GB2312" w:cs="Times New Roman"/>
          <w:sz w:val="32"/>
          <w:szCs w:val="32"/>
          <w:lang w:val="en-US" w:eastAsia="zh-CN"/>
        </w:rPr>
        <w:t>9</w:t>
      </w:r>
      <w:r>
        <w:rPr>
          <w:rFonts w:hint="eastAsia" w:ascii="仿宋_GB2312" w:hAnsi="Calibri" w:eastAsia="仿宋_GB2312" w:cs="Times New Roman"/>
          <w:sz w:val="32"/>
          <w:szCs w:val="32"/>
        </w:rPr>
        <w:t>个部门，分别为办公室（财务室）、</w:t>
      </w:r>
      <w:r>
        <w:rPr>
          <w:rFonts w:hint="eastAsia" w:ascii="仿宋_GB2312" w:hAnsi="Calibri" w:eastAsia="仿宋_GB2312" w:cs="Times New Roman"/>
          <w:sz w:val="32"/>
          <w:szCs w:val="32"/>
          <w:lang w:val="en-US" w:eastAsia="zh-CN"/>
        </w:rPr>
        <w:t>安全保障与后勤服务部、信息化部、宣传推广部</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lang w:val="en-US" w:eastAsia="zh-CN"/>
        </w:rPr>
        <w:t>市场发展部、培训指导部、学籍学历学位服务部（积分落户办公室）、调查研究部（北京大学生就业状况调查中心）、创业服务部</w:t>
      </w:r>
      <w:r>
        <w:rPr>
          <w:rFonts w:hint="eastAsia" w:ascii="仿宋_GB2312" w:hAnsi="Calibri" w:eastAsia="仿宋_GB2312" w:cs="Times New Roman"/>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人员编制及实有情况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北京高校大学生就业创业指导中心行政编制0人，</w:t>
      </w:r>
      <w:r>
        <w:rPr>
          <w:rFonts w:hint="eastAsia" w:ascii="仿宋_GB2312"/>
          <w:lang w:val="en-US" w:eastAsia="zh-CN"/>
        </w:rPr>
        <w:t>实际</w:t>
      </w:r>
      <w:r>
        <w:rPr>
          <w:rFonts w:hint="eastAsia" w:ascii="仿宋_GB2312"/>
        </w:rPr>
        <w:t>0人；事业编制40人，</w:t>
      </w:r>
      <w:r>
        <w:rPr>
          <w:rFonts w:hint="eastAsia" w:ascii="仿宋_GB2312"/>
          <w:lang w:val="en-US" w:eastAsia="zh-CN"/>
        </w:rPr>
        <w:t>实际33</w:t>
      </w:r>
      <w:r>
        <w:rPr>
          <w:rFonts w:hint="eastAsia" w:ascii="仿宋_GB2312"/>
        </w:rPr>
        <w:t>人；</w:t>
      </w:r>
      <w:r>
        <w:rPr>
          <w:rFonts w:hint="eastAsia" w:ascii="仿宋_GB2312"/>
          <w:lang w:eastAsia="zh-CN"/>
        </w:rPr>
        <w:t>聘用人员（其他聘用人员--临时工）</w:t>
      </w:r>
      <w:r>
        <w:rPr>
          <w:rFonts w:hint="eastAsia" w:ascii="仿宋_GB2312"/>
          <w:lang w:val="en-US" w:eastAsia="zh-CN"/>
        </w:rPr>
        <w:t>27人。</w:t>
      </w:r>
      <w:r>
        <w:rPr>
          <w:rFonts w:hint="eastAsia" w:ascii="仿宋_GB2312"/>
        </w:rPr>
        <w:t>离</w:t>
      </w:r>
      <w:r>
        <w:rPr>
          <w:rFonts w:hint="eastAsia" w:ascii="仿宋_GB2312"/>
          <w:lang w:eastAsia="zh-CN"/>
        </w:rPr>
        <w:t>退</w:t>
      </w:r>
      <w:r>
        <w:rPr>
          <w:rFonts w:hint="eastAsia" w:ascii="仿宋_GB2312"/>
        </w:rPr>
        <w:t>休人员</w:t>
      </w:r>
      <w:r>
        <w:rPr>
          <w:rFonts w:hint="eastAsia" w:ascii="仿宋_GB2312"/>
          <w:lang w:val="en-US" w:eastAsia="zh-CN"/>
        </w:rPr>
        <w:t>7</w:t>
      </w:r>
      <w:r>
        <w:rPr>
          <w:rFonts w:hint="eastAsia" w:ascii="仿宋_GB2312"/>
        </w:rPr>
        <w:t>人，</w:t>
      </w:r>
      <w:r>
        <w:rPr>
          <w:rFonts w:hint="eastAsia" w:ascii="仿宋_GB2312"/>
          <w:lang w:eastAsia="zh-CN"/>
        </w:rPr>
        <w:t>其中：离休</w:t>
      </w:r>
      <w:r>
        <w:rPr>
          <w:rFonts w:hint="eastAsia" w:ascii="仿宋_GB2312"/>
          <w:lang w:val="en-US" w:eastAsia="zh-CN"/>
        </w:rPr>
        <w:t>0人，</w:t>
      </w:r>
      <w:r>
        <w:rPr>
          <w:rFonts w:hint="eastAsia" w:ascii="仿宋_GB2312"/>
        </w:rPr>
        <w:t>退休</w:t>
      </w:r>
      <w:r>
        <w:rPr>
          <w:rFonts w:hint="eastAsia" w:ascii="仿宋_GB2312"/>
          <w:lang w:val="en-US" w:eastAsia="zh-CN"/>
        </w:rPr>
        <w:t>7</w:t>
      </w:r>
      <w:r>
        <w:rPr>
          <w:rFonts w:hint="eastAsia" w:ascii="仿宋_GB2312"/>
        </w:rPr>
        <w:t>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firstLine="640" w:firstLineChars="200"/>
        <w:textAlignment w:val="auto"/>
        <w:rPr>
          <w:rFonts w:ascii="黑体" w:eastAsia="黑体"/>
          <w:color w:val="000000"/>
          <w:sz w:val="32"/>
          <w:szCs w:val="32"/>
        </w:rPr>
      </w:pPr>
      <w:r>
        <w:rPr>
          <w:rFonts w:hint="eastAsia" w:ascii="黑体" w:eastAsia="黑体"/>
          <w:color w:val="000000"/>
          <w:sz w:val="32"/>
          <w:szCs w:val="32"/>
        </w:rPr>
        <w:t>收入预算情况说明</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sz w:val="32"/>
          <w:szCs w:val="32"/>
          <w:highlight w:val="none"/>
          <w:lang w:eastAsia="zh-CN"/>
        </w:rPr>
        <w:t>度</w:t>
      </w:r>
      <w:r>
        <w:rPr>
          <w:rFonts w:hint="eastAsia" w:ascii="仿宋_GB2312" w:eastAsia="仿宋_GB2312"/>
          <w:sz w:val="32"/>
          <w:szCs w:val="32"/>
          <w:highlight w:val="none"/>
        </w:rPr>
        <w:t>收入预算</w:t>
      </w:r>
      <w:r>
        <w:rPr>
          <w:rFonts w:hint="default" w:ascii="仿宋_GB2312" w:eastAsia="仿宋_GB2312"/>
          <w:sz w:val="32"/>
          <w:szCs w:val="32"/>
          <w:highlight w:val="none"/>
          <w:lang w:val="en-US" w:eastAsia="zh-CN"/>
        </w:rPr>
        <w:t>8431.75</w:t>
      </w:r>
      <w:r>
        <w:rPr>
          <w:rFonts w:hint="eastAsia" w:ascii="仿宋_GB2312" w:eastAsia="仿宋_GB2312"/>
          <w:sz w:val="32"/>
          <w:szCs w:val="32"/>
          <w:highlight w:val="none"/>
        </w:rPr>
        <w:t>万元，比202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ascii="仿宋_GB2312" w:hAnsi="Calibri" w:eastAsia="仿宋_GB2312" w:cs="Times New Roman"/>
          <w:sz w:val="32"/>
          <w:szCs w:val="32"/>
        </w:rPr>
        <w:t>15</w:t>
      </w:r>
      <w:r>
        <w:rPr>
          <w:rFonts w:hint="eastAsia" w:ascii="仿宋_GB2312" w:eastAsia="仿宋_GB2312" w:cs="Times New Roman"/>
          <w:sz w:val="32"/>
          <w:szCs w:val="32"/>
          <w:lang w:val="en-US" w:eastAsia="zh-CN"/>
        </w:rPr>
        <w:t>010.17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减少</w:t>
      </w:r>
      <w:r>
        <w:rPr>
          <w:rFonts w:hint="default" w:ascii="仿宋_GB2312" w:eastAsia="仿宋_GB2312"/>
          <w:sz w:val="32"/>
          <w:szCs w:val="32"/>
          <w:highlight w:val="none"/>
          <w:lang w:val="en-US" w:eastAsia="zh-CN"/>
        </w:rPr>
        <w:t>6578.42</w:t>
      </w:r>
      <w:r>
        <w:rPr>
          <w:rFonts w:hint="eastAsia" w:ascii="仿宋_GB2312" w:eastAsia="仿宋_GB2312"/>
          <w:sz w:val="32"/>
          <w:szCs w:val="32"/>
          <w:highlight w:val="none"/>
        </w:rPr>
        <w:t>万元，</w:t>
      </w:r>
      <w:r>
        <w:rPr>
          <w:rFonts w:hint="eastAsia" w:ascii="仿宋_GB2312"/>
          <w:sz w:val="32"/>
          <w:szCs w:val="32"/>
          <w:highlight w:val="none"/>
          <w:lang w:eastAsia="zh-CN"/>
        </w:rPr>
        <w:t>下降</w:t>
      </w:r>
      <w:r>
        <w:rPr>
          <w:rFonts w:hint="eastAsia" w:ascii="仿宋_GB2312" w:eastAsia="仿宋_GB2312"/>
          <w:sz w:val="32"/>
          <w:szCs w:val="32"/>
          <w:highlight w:val="none"/>
          <w:lang w:val="en-US" w:eastAsia="zh-CN"/>
        </w:rPr>
        <w:t>43.</w:t>
      </w:r>
      <w:r>
        <w:rPr>
          <w:rFonts w:hint="default" w:ascii="仿宋_GB2312" w:eastAsia="仿宋_GB2312"/>
          <w:sz w:val="32"/>
          <w:szCs w:val="32"/>
          <w:highlight w:val="none"/>
          <w:lang w:val="en-US" w:eastAsia="zh-CN"/>
        </w:rPr>
        <w:t>83</w:t>
      </w:r>
      <w:r>
        <w:rPr>
          <w:rFonts w:hint="eastAsia" w:ascii="仿宋_GB2312" w:eastAsia="仿宋_GB2312"/>
          <w:sz w:val="32"/>
          <w:szCs w:val="32"/>
          <w:highlight w:val="none"/>
        </w:rPr>
        <w:t>%。</w:t>
      </w:r>
      <w:r>
        <w:rPr>
          <w:rFonts w:hint="eastAsia" w:ascii="仿宋_GB2312"/>
        </w:rPr>
        <w:t>主要原因是根据事业发展规划</w:t>
      </w:r>
      <w:r>
        <w:rPr>
          <w:rFonts w:hint="eastAsia" w:ascii="仿宋_GB2312"/>
          <w:lang w:eastAsia="zh-CN"/>
        </w:rPr>
        <w:t>减少</w:t>
      </w:r>
      <w:r>
        <w:rPr>
          <w:rFonts w:hint="eastAsia" w:ascii="仿宋_GB2312"/>
        </w:rPr>
        <w:t>经费安排。</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楷体_GB2312" w:eastAsia="楷体_GB2312"/>
        </w:rPr>
      </w:pPr>
      <w:r>
        <w:rPr>
          <w:rFonts w:hint="eastAsia" w:ascii="楷体_GB2312" w:eastAsia="楷体_GB2312"/>
        </w:rPr>
        <w:t>（一）本年财政拨款收入</w:t>
      </w:r>
      <w:r>
        <w:rPr>
          <w:rFonts w:hint="eastAsia" w:ascii="楷体_GB2312" w:eastAsia="楷体_GB2312"/>
          <w:lang w:val="en-US" w:eastAsia="zh-CN"/>
        </w:rPr>
        <w:t>6619.75</w:t>
      </w:r>
      <w:r>
        <w:rPr>
          <w:rFonts w:hint="eastAsia" w:ascii="楷体_GB2312" w:eastAsia="楷体_GB2312"/>
        </w:rPr>
        <w:t xml:space="preserve"> 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1.一般公共预算拨款收入</w:t>
      </w:r>
      <w:r>
        <w:rPr>
          <w:rFonts w:hint="eastAsia" w:ascii="仿宋_GB2312" w:hAnsi="Calibri" w:cs="Times New Roman"/>
          <w:sz w:val="32"/>
          <w:szCs w:val="32"/>
          <w:lang w:val="en-US" w:eastAsia="zh-CN"/>
        </w:rPr>
        <w:t>6619.75</w:t>
      </w:r>
      <w:r>
        <w:rPr>
          <w:rFonts w:hint="eastAsia" w:ascii="仿宋_GB2312"/>
        </w:rPr>
        <w:t>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2.政府性基金预算拨款收入0万元。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3.国有资本经营预算拨款收入0万元。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（二）本年其他资金收入</w:t>
      </w:r>
      <w:r>
        <w:rPr>
          <w:rFonts w:hint="eastAsia" w:ascii="楷体_GB2312" w:eastAsia="楷体_GB2312"/>
          <w:sz w:val="32"/>
          <w:szCs w:val="32"/>
          <w:lang w:val="en-US" w:eastAsia="zh-CN"/>
        </w:rPr>
        <w:t>1492.00</w:t>
      </w:r>
      <w:r>
        <w:rPr>
          <w:rFonts w:hint="eastAsia" w:ascii="楷体_GB2312" w:eastAsia="楷体_GB2312"/>
          <w:sz w:val="32"/>
          <w:szCs w:val="32"/>
        </w:rPr>
        <w:t>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4.财政专户管理资金收入0万元。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5.事业收入0万元。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6.上级补助收入0万元。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7.附属单位上缴收入0万元。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8.事业单位经营收入</w:t>
      </w:r>
      <w:r>
        <w:rPr>
          <w:rFonts w:hint="eastAsia" w:ascii="仿宋_GB2312"/>
          <w:lang w:val="en-US" w:eastAsia="zh-CN"/>
        </w:rPr>
        <w:t>1489.00</w:t>
      </w:r>
      <w:r>
        <w:rPr>
          <w:rFonts w:hint="eastAsia" w:ascii="仿宋_GB2312"/>
        </w:rPr>
        <w:t>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9.其他收入3.</w:t>
      </w:r>
      <w:r>
        <w:rPr>
          <w:rFonts w:hint="eastAsia" w:ascii="仿宋_GB2312"/>
          <w:lang w:val="en-US" w:eastAsia="zh-CN"/>
        </w:rPr>
        <w:t>0</w:t>
      </w:r>
      <w:r>
        <w:rPr>
          <w:rFonts w:hint="eastAsia" w:ascii="仿宋_GB2312"/>
        </w:rPr>
        <w:t>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（三）上年结转结余</w:t>
      </w:r>
      <w:r>
        <w:rPr>
          <w:rFonts w:hint="eastAsia" w:ascii="楷体_GB2312" w:eastAsia="楷体_GB2312"/>
          <w:sz w:val="32"/>
          <w:szCs w:val="32"/>
          <w:lang w:val="en-US" w:eastAsia="zh-CN"/>
        </w:rPr>
        <w:t>320.00</w:t>
      </w:r>
      <w:r>
        <w:rPr>
          <w:rFonts w:hint="eastAsia" w:ascii="楷体_GB2312" w:eastAsia="楷体_GB2312"/>
          <w:sz w:val="32"/>
          <w:szCs w:val="32"/>
        </w:rPr>
        <w:t>万元</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10.上年结转结余</w:t>
      </w:r>
      <w:r>
        <w:rPr>
          <w:rFonts w:hint="eastAsia" w:ascii="仿宋_GB2312"/>
          <w:lang w:val="en-US" w:eastAsia="zh-CN"/>
        </w:rPr>
        <w:t>320.00</w:t>
      </w:r>
      <w:r>
        <w:rPr>
          <w:rFonts w:hint="eastAsia" w:ascii="仿宋_GB2312"/>
        </w:rPr>
        <w:t>万元。</w:t>
      </w:r>
    </w:p>
    <w:p>
      <w:pPr>
        <w:pStyle w:val="2"/>
        <w:ind w:firstLine="642"/>
        <w:jc w:val="center"/>
        <w:rPr>
          <w:rFonts w:hint="eastAsia" w:ascii="仿宋_GB2312" w:eastAsia="仿宋_GB2312"/>
          <w:sz w:val="32"/>
        </w:rPr>
      </w:pPr>
      <w:r>
        <w:rPr>
          <w:rFonts w:hint="eastAsia" w:ascii="仿宋_GB2312" w:eastAsia="仿宋_GB2312"/>
          <w:sz w:val="32"/>
        </w:rPr>
        <w:drawing>
          <wp:inline distT="0" distB="0" distL="114300" distR="114300">
            <wp:extent cx="5079365" cy="3810000"/>
            <wp:effectExtent l="4445" t="4445" r="21590" b="14605"/>
            <wp:docPr id="4"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Pr>
          <w:rFonts w:hint="eastAsia" w:ascii="仿宋_GB2312" w:eastAsia="仿宋_GB2312"/>
          <w:sz w:val="32"/>
        </w:rPr>
        <w:t>图1：收入预算</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firstLine="640" w:firstLineChars="200"/>
        <w:textAlignment w:val="auto"/>
        <w:rPr>
          <w:rFonts w:ascii="黑体" w:eastAsia="黑体"/>
          <w:color w:val="000000"/>
          <w:sz w:val="32"/>
          <w:szCs w:val="32"/>
        </w:rPr>
      </w:pPr>
      <w:r>
        <w:rPr>
          <w:rFonts w:hint="eastAsia" w:ascii="黑体" w:eastAsia="黑体"/>
          <w:color w:val="000000"/>
          <w:sz w:val="32"/>
          <w:szCs w:val="32"/>
        </w:rPr>
        <w:t>支出预算情况说明</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rPr>
      </w:pPr>
      <w:r>
        <w:rPr>
          <w:rFonts w:hint="eastAsia" w:ascii="仿宋_GB2312"/>
        </w:rPr>
        <w:t>202</w:t>
      </w:r>
      <w:r>
        <w:rPr>
          <w:rFonts w:hint="eastAsia" w:ascii="仿宋_GB2312"/>
          <w:lang w:val="en-US" w:eastAsia="zh-CN"/>
        </w:rPr>
        <w:t>5</w:t>
      </w:r>
      <w:r>
        <w:rPr>
          <w:rFonts w:hint="eastAsia" w:ascii="仿宋_GB2312"/>
        </w:rPr>
        <w:t>年支出预算</w:t>
      </w:r>
      <w:r>
        <w:rPr>
          <w:rFonts w:hint="eastAsia" w:ascii="仿宋_GB2312"/>
          <w:lang w:val="en-US" w:eastAsia="zh-CN"/>
        </w:rPr>
        <w:t>8431.75</w:t>
      </w:r>
      <w:r>
        <w:rPr>
          <w:rFonts w:hint="eastAsia" w:ascii="仿宋_GB2312"/>
        </w:rPr>
        <w:t>万元，比202</w:t>
      </w:r>
      <w:r>
        <w:rPr>
          <w:rFonts w:hint="eastAsia" w:ascii="仿宋_GB2312"/>
          <w:lang w:val="en-US" w:eastAsia="zh-CN"/>
        </w:rPr>
        <w:t>4</w:t>
      </w:r>
      <w:r>
        <w:rPr>
          <w:rFonts w:hint="eastAsia" w:ascii="仿宋_GB2312"/>
        </w:rPr>
        <w:t>年年初预算数</w:t>
      </w:r>
      <w:r>
        <w:rPr>
          <w:rFonts w:hint="eastAsia" w:ascii="仿宋_GB2312"/>
          <w:lang w:val="en-US" w:eastAsia="zh-CN"/>
        </w:rPr>
        <w:t>15010.17</w:t>
      </w:r>
      <w:r>
        <w:rPr>
          <w:rFonts w:hint="eastAsia" w:ascii="仿宋_GB2312"/>
        </w:rPr>
        <w:t>万元</w:t>
      </w:r>
      <w:r>
        <w:rPr>
          <w:rFonts w:hint="eastAsia" w:ascii="仿宋_GB2312" w:eastAsia="仿宋_GB2312"/>
          <w:sz w:val="32"/>
          <w:szCs w:val="32"/>
          <w:highlight w:val="none"/>
          <w:lang w:eastAsia="zh-CN"/>
        </w:rPr>
        <w:t>减少</w:t>
      </w:r>
      <w:r>
        <w:rPr>
          <w:rFonts w:hint="default" w:ascii="仿宋_GB2312" w:eastAsia="仿宋_GB2312"/>
          <w:sz w:val="32"/>
          <w:szCs w:val="32"/>
          <w:highlight w:val="none"/>
          <w:lang w:val="en-US" w:eastAsia="zh-CN"/>
        </w:rPr>
        <w:t>6578.42</w:t>
      </w:r>
      <w:r>
        <w:rPr>
          <w:rFonts w:hint="eastAsia" w:ascii="仿宋_GB2312" w:eastAsia="仿宋_GB2312"/>
          <w:sz w:val="32"/>
          <w:szCs w:val="32"/>
          <w:highlight w:val="none"/>
        </w:rPr>
        <w:t>万元，</w:t>
      </w:r>
      <w:r>
        <w:rPr>
          <w:rFonts w:hint="eastAsia" w:ascii="仿宋_GB2312"/>
          <w:sz w:val="32"/>
          <w:szCs w:val="32"/>
          <w:highlight w:val="none"/>
          <w:lang w:eastAsia="zh-CN"/>
        </w:rPr>
        <w:t>下降</w:t>
      </w:r>
      <w:r>
        <w:rPr>
          <w:rFonts w:hint="eastAsia" w:ascii="仿宋_GB2312" w:eastAsia="仿宋_GB2312"/>
          <w:sz w:val="32"/>
          <w:szCs w:val="32"/>
          <w:highlight w:val="none"/>
          <w:lang w:val="en-US" w:eastAsia="zh-CN"/>
        </w:rPr>
        <w:t>43.</w:t>
      </w:r>
      <w:r>
        <w:rPr>
          <w:rFonts w:hint="default" w:ascii="仿宋_GB2312" w:eastAsia="仿宋_GB2312"/>
          <w:sz w:val="32"/>
          <w:szCs w:val="32"/>
          <w:highlight w:val="none"/>
          <w:lang w:val="en-US" w:eastAsia="zh-CN"/>
        </w:rPr>
        <w:t>83</w:t>
      </w:r>
      <w:r>
        <w:rPr>
          <w:rFonts w:hint="eastAsia" w:ascii="仿宋_GB2312" w:eastAsia="仿宋_GB2312"/>
          <w:sz w:val="32"/>
          <w:szCs w:val="32"/>
          <w:highlight w:val="none"/>
        </w:rPr>
        <w:t>%</w:t>
      </w:r>
      <w:r>
        <w:rPr>
          <w:rFonts w:hint="eastAsia" w:ascii="仿宋_GB2312"/>
        </w:rPr>
        <w:t>。主要原因是根据事业发展规划</w:t>
      </w:r>
      <w:r>
        <w:rPr>
          <w:rFonts w:hint="eastAsia" w:ascii="仿宋_GB2312"/>
          <w:lang w:eastAsia="zh-CN"/>
        </w:rPr>
        <w:t>减少</w:t>
      </w:r>
      <w:r>
        <w:rPr>
          <w:rFonts w:hint="eastAsia" w:ascii="仿宋_GB2312"/>
        </w:rPr>
        <w:t>经费安排。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楷体_GB2312" w:hAnsi="楷体_GB2312" w:eastAsia="楷体_GB2312" w:cs="楷体_GB2312"/>
          <w:sz w:val="32"/>
          <w:szCs w:val="32"/>
        </w:rPr>
        <w:t>（一）基本支出。</w:t>
      </w:r>
      <w:r>
        <w:rPr>
          <w:rFonts w:hint="eastAsia" w:ascii="仿宋_GB2312" w:eastAsia="仿宋_GB2312" w:cs="Times New Roman"/>
          <w:sz w:val="32"/>
          <w:szCs w:val="32"/>
        </w:rPr>
        <w:t>基本支出预算</w:t>
      </w:r>
      <w:r>
        <w:rPr>
          <w:rFonts w:hint="eastAsia" w:ascii="仿宋_GB2312" w:eastAsia="仿宋_GB2312" w:cs="Times New Roman"/>
          <w:sz w:val="32"/>
          <w:szCs w:val="32"/>
          <w:lang w:val="en-US" w:eastAsia="zh-CN"/>
        </w:rPr>
        <w:t>2704.61</w:t>
      </w:r>
      <w:r>
        <w:rPr>
          <w:rFonts w:hint="eastAsia" w:ascii="仿宋_GB2312" w:eastAsia="仿宋_GB2312" w:cs="Times New Roman"/>
          <w:sz w:val="32"/>
          <w:szCs w:val="32"/>
        </w:rPr>
        <w:t>万元，占</w:t>
      </w:r>
      <w:r>
        <w:rPr>
          <w:rFonts w:hint="eastAsia" w:ascii="仿宋_GB2312" w:eastAsia="仿宋_GB2312" w:cs="Times New Roman"/>
          <w:sz w:val="32"/>
          <w:szCs w:val="32"/>
          <w:lang w:eastAsia="zh-CN"/>
        </w:rPr>
        <w:t>本年支出</w:t>
      </w:r>
      <w:r>
        <w:rPr>
          <w:rFonts w:hint="eastAsia" w:ascii="仿宋_GB2312" w:eastAsia="仿宋_GB2312" w:cs="Times New Roman"/>
          <w:sz w:val="32"/>
          <w:szCs w:val="32"/>
        </w:rPr>
        <w:t>预算</w:t>
      </w:r>
      <w:r>
        <w:rPr>
          <w:rFonts w:hint="eastAsia" w:ascii="仿宋_GB2312" w:eastAsia="仿宋_GB2312" w:cs="Times New Roman"/>
          <w:sz w:val="32"/>
          <w:szCs w:val="32"/>
          <w:lang w:val="en-US" w:eastAsia="zh-CN"/>
        </w:rPr>
        <w:t>32.08</w:t>
      </w:r>
      <w:r>
        <w:rPr>
          <w:rFonts w:hint="eastAsia" w:ascii="仿宋_GB2312" w:eastAsia="仿宋_GB2312" w:cs="Times New Roman"/>
          <w:sz w:val="32"/>
          <w:szCs w:val="32"/>
        </w:rPr>
        <w:t>%，比202</w:t>
      </w:r>
      <w:r>
        <w:rPr>
          <w:rFonts w:hint="eastAsia" w:ascii="仿宋_GB2312" w:eastAsia="仿宋_GB2312" w:cs="Times New Roman"/>
          <w:sz w:val="32"/>
          <w:szCs w:val="32"/>
          <w:lang w:val="en-US" w:eastAsia="zh-CN"/>
        </w:rPr>
        <w:t>4</w:t>
      </w:r>
      <w:r>
        <w:rPr>
          <w:rFonts w:hint="eastAsia" w:ascii="仿宋_GB2312" w:eastAsia="仿宋_GB2312" w:cs="Times New Roman"/>
          <w:sz w:val="32"/>
          <w:szCs w:val="32"/>
        </w:rPr>
        <w:t>年年初预算数</w:t>
      </w:r>
      <w:r>
        <w:rPr>
          <w:rFonts w:hint="eastAsia" w:ascii="仿宋_GB2312" w:eastAsia="仿宋_GB2312" w:cs="Times New Roman"/>
          <w:sz w:val="32"/>
          <w:szCs w:val="32"/>
          <w:lang w:val="en-US" w:eastAsia="zh-CN"/>
        </w:rPr>
        <w:t>2686.83</w:t>
      </w:r>
      <w:r>
        <w:rPr>
          <w:rFonts w:hint="eastAsia" w:ascii="仿宋_GB2312" w:eastAsia="仿宋_GB2312" w:cs="Times New Roman"/>
          <w:sz w:val="32"/>
          <w:szCs w:val="32"/>
        </w:rPr>
        <w:t>万元增加</w:t>
      </w:r>
      <w:r>
        <w:rPr>
          <w:rFonts w:hint="eastAsia" w:ascii="仿宋_GB2312" w:eastAsia="仿宋_GB2312" w:cs="Times New Roman"/>
          <w:sz w:val="32"/>
          <w:szCs w:val="32"/>
          <w:lang w:val="en-US" w:eastAsia="zh-CN"/>
        </w:rPr>
        <w:t>17.78</w:t>
      </w:r>
      <w:r>
        <w:rPr>
          <w:rFonts w:hint="eastAsia" w:ascii="仿宋_GB2312" w:eastAsia="仿宋_GB2312" w:cs="Times New Roman"/>
          <w:sz w:val="32"/>
          <w:szCs w:val="32"/>
        </w:rPr>
        <w:t>万元，增长</w:t>
      </w:r>
      <w:r>
        <w:rPr>
          <w:rFonts w:hint="eastAsia" w:ascii="仿宋_GB2312" w:eastAsia="仿宋_GB2312" w:cs="Times New Roman"/>
          <w:sz w:val="32"/>
          <w:szCs w:val="32"/>
          <w:lang w:val="en-US" w:eastAsia="zh-CN"/>
        </w:rPr>
        <w:t>0.66</w:t>
      </w:r>
      <w:r>
        <w:rPr>
          <w:rFonts w:hint="eastAsia" w:ascii="仿宋_GB2312"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楷体_GB2312" w:hAnsi="楷体_GB2312" w:eastAsia="楷体_GB2312" w:cs="楷体_GB2312"/>
          <w:sz w:val="32"/>
          <w:szCs w:val="32"/>
        </w:rPr>
        <w:t>（二）项目支出。</w:t>
      </w:r>
      <w:r>
        <w:rPr>
          <w:rFonts w:hint="eastAsia" w:ascii="仿宋_GB2312" w:eastAsia="仿宋_GB2312" w:cs="Times New Roman"/>
          <w:sz w:val="32"/>
          <w:szCs w:val="32"/>
        </w:rPr>
        <w:t>项目支出预算</w:t>
      </w:r>
      <w:r>
        <w:rPr>
          <w:rFonts w:hint="eastAsia" w:ascii="仿宋_GB2312" w:eastAsia="仿宋_GB2312" w:cs="Times New Roman"/>
          <w:sz w:val="32"/>
          <w:szCs w:val="32"/>
          <w:lang w:val="en-US" w:eastAsia="zh-CN"/>
        </w:rPr>
        <w:t>5727.14</w:t>
      </w:r>
      <w:r>
        <w:rPr>
          <w:rFonts w:hint="eastAsia" w:ascii="仿宋_GB2312" w:eastAsia="仿宋_GB2312" w:cs="Times New Roman"/>
          <w:sz w:val="32"/>
          <w:szCs w:val="32"/>
        </w:rPr>
        <w:t>万元，比202</w:t>
      </w:r>
      <w:r>
        <w:rPr>
          <w:rFonts w:hint="eastAsia" w:ascii="仿宋_GB2312" w:eastAsia="仿宋_GB2312" w:cs="Times New Roman"/>
          <w:sz w:val="32"/>
          <w:szCs w:val="32"/>
          <w:lang w:val="en-US" w:eastAsia="zh-CN"/>
        </w:rPr>
        <w:t>4</w:t>
      </w:r>
      <w:r>
        <w:rPr>
          <w:rFonts w:hint="eastAsia" w:ascii="仿宋_GB2312" w:eastAsia="仿宋_GB2312" w:cs="Times New Roman"/>
          <w:sz w:val="32"/>
          <w:szCs w:val="32"/>
        </w:rPr>
        <w:t>年年初预算数</w:t>
      </w:r>
      <w:r>
        <w:rPr>
          <w:rFonts w:hint="eastAsia" w:ascii="仿宋_GB2312" w:eastAsia="仿宋_GB2312" w:cs="Times New Roman"/>
          <w:sz w:val="32"/>
          <w:szCs w:val="32"/>
          <w:lang w:val="en-US" w:eastAsia="zh-CN"/>
        </w:rPr>
        <w:t>12323.34</w:t>
      </w:r>
      <w:r>
        <w:rPr>
          <w:rFonts w:hint="eastAsia" w:ascii="仿宋_GB2312" w:eastAsia="仿宋_GB2312" w:cs="Times New Roman"/>
          <w:sz w:val="32"/>
          <w:szCs w:val="32"/>
        </w:rPr>
        <w:t>万元</w:t>
      </w:r>
      <w:r>
        <w:rPr>
          <w:rFonts w:hint="eastAsia" w:ascii="仿宋_GB2312" w:eastAsia="仿宋_GB2312" w:cs="Times New Roman"/>
          <w:sz w:val="32"/>
          <w:szCs w:val="32"/>
          <w:lang w:eastAsia="zh-CN"/>
        </w:rPr>
        <w:t>减少</w:t>
      </w:r>
      <w:r>
        <w:rPr>
          <w:rFonts w:hint="eastAsia" w:ascii="仿宋_GB2312" w:eastAsia="仿宋_GB2312" w:cs="Times New Roman"/>
          <w:sz w:val="32"/>
          <w:szCs w:val="32"/>
          <w:lang w:val="en-US" w:eastAsia="zh-CN"/>
        </w:rPr>
        <w:t>6596.20</w:t>
      </w:r>
      <w:r>
        <w:rPr>
          <w:rFonts w:hint="eastAsia" w:ascii="仿宋_GB2312" w:eastAsia="仿宋_GB2312" w:cs="Times New Roman"/>
          <w:sz w:val="32"/>
          <w:szCs w:val="32"/>
        </w:rPr>
        <w:t>万元，</w:t>
      </w:r>
      <w:r>
        <w:rPr>
          <w:rFonts w:hint="eastAsia" w:ascii="仿宋_GB2312" w:eastAsia="仿宋_GB2312" w:cs="Times New Roman"/>
          <w:sz w:val="32"/>
          <w:szCs w:val="32"/>
          <w:lang w:eastAsia="zh-CN"/>
        </w:rPr>
        <w:t>下降</w:t>
      </w:r>
      <w:r>
        <w:rPr>
          <w:rFonts w:hint="eastAsia" w:ascii="仿宋_GB2312" w:eastAsia="仿宋_GB2312" w:cs="Times New Roman"/>
          <w:sz w:val="32"/>
          <w:szCs w:val="32"/>
          <w:lang w:val="en-US" w:eastAsia="zh-CN"/>
        </w:rPr>
        <w:t>53.53</w:t>
      </w:r>
      <w:r>
        <w:rPr>
          <w:rFonts w:hint="eastAsia" w:ascii="仿宋_GB2312" w:eastAsia="仿宋_GB2312" w:cs="Times New Roman"/>
          <w:sz w:val="32"/>
          <w:szCs w:val="32"/>
        </w:rPr>
        <w:t>%。其中：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仿宋_GB2312" w:eastAsia="仿宋_GB2312" w:cs="Times New Roman"/>
          <w:sz w:val="32"/>
          <w:szCs w:val="32"/>
        </w:rPr>
        <w:t>1.事业单位经营支出</w:t>
      </w:r>
      <w:r>
        <w:rPr>
          <w:rFonts w:hint="eastAsia" w:ascii="仿宋_GB2312" w:eastAsia="仿宋_GB2312" w:cs="Times New Roman"/>
          <w:sz w:val="32"/>
          <w:szCs w:val="32"/>
          <w:lang w:val="en-US" w:eastAsia="zh-CN"/>
        </w:rPr>
        <w:t>484.23</w:t>
      </w:r>
      <w:r>
        <w:rPr>
          <w:rFonts w:hint="eastAsia" w:ascii="仿宋_GB2312"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仿宋_GB2312" w:eastAsia="仿宋_GB2312" w:cs="Times New Roman"/>
          <w:sz w:val="32"/>
          <w:szCs w:val="32"/>
        </w:rPr>
        <w:t>2.上缴上级支出</w:t>
      </w:r>
      <w:r>
        <w:rPr>
          <w:rFonts w:hint="eastAsia" w:ascii="仿宋_GB2312" w:eastAsia="仿宋_GB2312" w:cs="Times New Roman"/>
          <w:sz w:val="32"/>
          <w:szCs w:val="32"/>
          <w:lang w:val="en-US" w:eastAsia="zh-CN"/>
        </w:rPr>
        <w:t>0</w:t>
      </w:r>
      <w:r>
        <w:rPr>
          <w:rFonts w:hint="eastAsia" w:ascii="仿宋_GB2312"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s="Times New Roman"/>
          <w:sz w:val="32"/>
          <w:szCs w:val="32"/>
        </w:rPr>
      </w:pPr>
      <w:r>
        <w:rPr>
          <w:rFonts w:hint="eastAsia" w:ascii="仿宋_GB2312" w:eastAsia="仿宋_GB2312" w:cs="Times New Roman"/>
          <w:sz w:val="32"/>
          <w:szCs w:val="32"/>
        </w:rPr>
        <w:t>3.对附属单位补助支出</w:t>
      </w:r>
      <w:r>
        <w:rPr>
          <w:rFonts w:hint="eastAsia" w:ascii="仿宋_GB2312" w:eastAsia="仿宋_GB2312" w:cs="Times New Roman"/>
          <w:sz w:val="32"/>
          <w:szCs w:val="32"/>
          <w:lang w:val="en-US" w:eastAsia="zh-CN"/>
        </w:rPr>
        <w:t>0</w:t>
      </w:r>
      <w:r>
        <w:rPr>
          <w:rFonts w:hint="eastAsia" w:ascii="仿宋_GB2312" w:eastAsia="仿宋_GB2312" w:cs="Times New Roman"/>
          <w:sz w:val="32"/>
          <w:szCs w:val="32"/>
        </w:rPr>
        <w:t>万元。</w:t>
      </w:r>
    </w:p>
    <w:p>
      <w:pPr>
        <w:pStyle w:val="2"/>
        <w:ind w:firstLine="642"/>
        <w:jc w:val="center"/>
        <w:rPr>
          <w:rFonts w:hint="eastAsia"/>
        </w:rPr>
      </w:pPr>
      <w:r>
        <w:rPr>
          <w:rFonts w:hint="eastAsia"/>
        </w:rPr>
        <w:drawing>
          <wp:inline distT="0" distB="0" distL="114300" distR="114300">
            <wp:extent cx="5079365" cy="3810000"/>
            <wp:effectExtent l="0" t="0" r="0" b="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eastAsia" w:ascii="仿宋_GB2312" w:eastAsia="仿宋_GB2312"/>
          <w:sz w:val="32"/>
        </w:rPr>
        <w:t>图2：基本支出和项目支出情况</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ascii="黑体" w:eastAsia="黑体"/>
          <w:sz w:val="32"/>
          <w:szCs w:val="32"/>
        </w:rPr>
      </w:pPr>
      <w:r>
        <w:rPr>
          <w:rFonts w:hint="eastAsia" w:ascii="楷体_GB2312" w:hAnsi="楷体_GB2312" w:eastAsia="楷体_GB2312" w:cs="楷体_GB2312"/>
          <w:kern w:val="2"/>
          <w:sz w:val="32"/>
          <w:szCs w:val="32"/>
          <w:lang w:val="en-US" w:eastAsia="zh-CN" w:bidi="ar-SA"/>
        </w:rPr>
        <w:t>（三）年终结转结余资金0万元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本单位2025年无财政拨款安排的</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eastAsia="黑体"/>
          <w:sz w:val="32"/>
          <w:szCs w:val="32"/>
        </w:rPr>
      </w:pPr>
      <w:r>
        <w:rPr>
          <w:rFonts w:hint="eastAsia" w:ascii="黑体" w:eastAsia="黑体"/>
          <w:sz w:val="32"/>
          <w:szCs w:val="32"/>
        </w:rPr>
        <w:t>五、其他情况说明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（一）政府采购预算说明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年北京高校大学生就业创业指导中心政府采购预算</w:t>
      </w:r>
      <w:bookmarkStart w:id="0" w:name="_GoBack"/>
      <w:bookmarkEnd w:id="0"/>
      <w:r>
        <w:rPr>
          <w:rFonts w:hint="eastAsia" w:ascii="仿宋_GB2312" w:eastAsia="仿宋_GB2312"/>
          <w:sz w:val="32"/>
          <w:szCs w:val="32"/>
        </w:rPr>
        <w:t>总额</w:t>
      </w:r>
      <w:r>
        <w:rPr>
          <w:rFonts w:hint="eastAsia" w:ascii="仿宋_GB2312" w:hAnsi="Times New Roman" w:eastAsia="仿宋_GB2312"/>
          <w:sz w:val="32"/>
          <w:szCs w:val="32"/>
          <w:highlight w:val="none"/>
          <w:lang w:val="en-US" w:eastAsia="zh-CN"/>
        </w:rPr>
        <w:t>341</w:t>
      </w:r>
      <w:r>
        <w:rPr>
          <w:rFonts w:hint="default" w:ascii="仿宋_GB2312" w:hAnsi="Times New Roman" w:eastAsia="仿宋_GB2312"/>
          <w:sz w:val="32"/>
          <w:szCs w:val="32"/>
          <w:highlight w:val="none"/>
          <w:lang w:val="en-US" w:eastAsia="zh-CN"/>
        </w:rPr>
        <w:t>0.36</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127.07</w:t>
      </w:r>
      <w:r>
        <w:rPr>
          <w:rFonts w:hint="eastAsia" w:ascii="仿宋_GB2312" w:eastAsia="仿宋_GB2312"/>
          <w:sz w:val="32"/>
          <w:szCs w:val="32"/>
        </w:rPr>
        <w:t>万元，政府采购工程预算</w:t>
      </w:r>
      <w:r>
        <w:rPr>
          <w:rFonts w:hint="eastAsia" w:ascii="仿宋_GB2312" w:eastAsia="仿宋_GB2312"/>
          <w:sz w:val="32"/>
          <w:szCs w:val="32"/>
          <w:lang w:val="en-US" w:eastAsia="zh-CN"/>
        </w:rPr>
        <w:t>2484.98</w:t>
      </w:r>
      <w:r>
        <w:rPr>
          <w:rFonts w:hint="eastAsia" w:ascii="仿宋_GB2312" w:eastAsia="仿宋_GB2312"/>
          <w:sz w:val="32"/>
          <w:szCs w:val="32"/>
        </w:rPr>
        <w:t>万元，政府采购服务预算</w:t>
      </w:r>
      <w:r>
        <w:rPr>
          <w:rFonts w:hint="eastAsia" w:ascii="仿宋_GB2312" w:eastAsia="仿宋_GB2312"/>
          <w:sz w:val="32"/>
          <w:szCs w:val="32"/>
          <w:lang w:val="en-US" w:eastAsia="zh-CN"/>
        </w:rPr>
        <w:t>798.31</w:t>
      </w:r>
      <w:r>
        <w:rPr>
          <w:rFonts w:hint="eastAsia" w:ascii="仿宋_GB2312"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（二）政府购买服务预算说明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lang w:eastAsia="zh-CN"/>
        </w:rPr>
        <w:t>本单位</w:t>
      </w: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eastAsia="zh-CN"/>
        </w:rPr>
        <w:t>无</w:t>
      </w:r>
      <w:r>
        <w:rPr>
          <w:rFonts w:hint="eastAsia" w:ascii="仿宋_GB2312" w:eastAsia="仿宋_GB2312"/>
          <w:sz w:val="32"/>
          <w:szCs w:val="32"/>
        </w:rPr>
        <w:t>政府购买服务预算。</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楷体_GB2312" w:eastAsia="楷体_GB2312"/>
          <w:sz w:val="32"/>
          <w:szCs w:val="32"/>
        </w:rPr>
      </w:pPr>
      <w:r>
        <w:rPr>
          <w:rFonts w:hint="eastAsia" w:ascii="楷体_GB2312" w:eastAsia="楷体_GB2312"/>
          <w:sz w:val="32"/>
          <w:szCs w:val="32"/>
        </w:rPr>
        <w:t>机关运行经费说明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lang w:eastAsia="zh-CN"/>
        </w:rPr>
        <w:t>我</w:t>
      </w:r>
      <w:r>
        <w:rPr>
          <w:rFonts w:hint="eastAsia" w:ascii="仿宋_GB2312" w:eastAsia="仿宋_GB2312"/>
          <w:sz w:val="32"/>
          <w:szCs w:val="32"/>
        </w:rPr>
        <w:t>单位不在机关运行经费统计范围之内。</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firstLine="640" w:firstLineChars="200"/>
        <w:textAlignment w:val="auto"/>
        <w:rPr>
          <w:rFonts w:ascii="楷体_GB2312" w:eastAsia="楷体_GB2312"/>
          <w:sz w:val="32"/>
          <w:szCs w:val="32"/>
        </w:rPr>
      </w:pPr>
      <w:r>
        <w:rPr>
          <w:rFonts w:hint="eastAsia" w:ascii="楷体_GB2312" w:eastAsia="楷体_GB2312"/>
          <w:sz w:val="32"/>
          <w:szCs w:val="32"/>
        </w:rPr>
        <w:t>项目支出绩效目标情况说明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年，北京高校大学生就业创业指导中心填报绩效目标的预算项目1</w:t>
      </w:r>
      <w:r>
        <w:rPr>
          <w:rFonts w:hint="eastAsia" w:ascii="仿宋_GB2312" w:eastAsia="仿宋_GB2312"/>
          <w:sz w:val="32"/>
          <w:szCs w:val="32"/>
          <w:lang w:val="en-US" w:eastAsia="zh-CN"/>
        </w:rPr>
        <w:t>4</w:t>
      </w:r>
      <w:r>
        <w:rPr>
          <w:rFonts w:hint="eastAsia" w:ascii="仿宋_GB2312" w:eastAsia="仿宋_GB2312"/>
          <w:sz w:val="32"/>
          <w:szCs w:val="32"/>
        </w:rPr>
        <w:t>个，占</w:t>
      </w:r>
      <w:r>
        <w:rPr>
          <w:rFonts w:hint="eastAsia" w:ascii="仿宋_GB2312" w:eastAsia="仿宋_GB2312"/>
          <w:sz w:val="32"/>
          <w:szCs w:val="32"/>
          <w:lang w:eastAsia="zh-CN"/>
        </w:rPr>
        <w:t>本单位本年</w:t>
      </w:r>
      <w:r>
        <w:rPr>
          <w:rFonts w:hint="eastAsia" w:ascii="仿宋_GB2312" w:eastAsia="仿宋_GB2312"/>
          <w:sz w:val="32"/>
          <w:szCs w:val="32"/>
        </w:rPr>
        <w:t>预算项目1</w:t>
      </w:r>
      <w:r>
        <w:rPr>
          <w:rFonts w:hint="eastAsia" w:ascii="仿宋_GB2312" w:eastAsia="仿宋_GB2312"/>
          <w:sz w:val="32"/>
          <w:szCs w:val="32"/>
          <w:lang w:val="en-US" w:eastAsia="zh-CN"/>
        </w:rPr>
        <w:t>4</w:t>
      </w:r>
      <w:r>
        <w:rPr>
          <w:rFonts w:hint="eastAsia" w:ascii="仿宋_GB2312" w:eastAsia="仿宋_GB2312"/>
          <w:sz w:val="32"/>
          <w:szCs w:val="32"/>
        </w:rPr>
        <w:t>个的100%。填报绩效目标的项目支出预算</w:t>
      </w:r>
      <w:r>
        <w:rPr>
          <w:rFonts w:hint="default" w:ascii="仿宋_GB2312" w:hAnsi="Times New Roman" w:eastAsia="仿宋_GB2312"/>
          <w:sz w:val="32"/>
          <w:szCs w:val="32"/>
          <w:highlight w:val="none"/>
          <w:lang w:val="en-US" w:eastAsia="zh-CN"/>
        </w:rPr>
        <w:t>5727.14</w:t>
      </w:r>
      <w:r>
        <w:rPr>
          <w:rFonts w:hint="eastAsia" w:ascii="仿宋_GB2312" w:eastAsia="仿宋_GB2312"/>
          <w:sz w:val="32"/>
          <w:szCs w:val="32"/>
        </w:rPr>
        <w:t>万元，占本单位</w:t>
      </w:r>
      <w:r>
        <w:rPr>
          <w:rFonts w:hint="eastAsia" w:ascii="仿宋_GB2312" w:eastAsia="仿宋_GB2312"/>
          <w:sz w:val="32"/>
          <w:szCs w:val="32"/>
          <w:lang w:eastAsia="zh-CN"/>
        </w:rPr>
        <w:t>本年</w:t>
      </w:r>
      <w:r>
        <w:rPr>
          <w:rFonts w:hint="eastAsia" w:ascii="仿宋_GB2312" w:eastAsia="仿宋_GB2312"/>
          <w:sz w:val="32"/>
          <w:szCs w:val="32"/>
        </w:rPr>
        <w:t>项目支出预算的100%。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（五）重点行政事业性收费情况说明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年无重点行政事业性收费。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（六）国有资本经营预算财政拨款情况说明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年无国有资本经营预算财政拨款安排的预算。</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rPr>
        <w:t>截至202</w:t>
      </w:r>
      <w:r>
        <w:rPr>
          <w:rFonts w:hint="eastAsia" w:ascii="仿宋_GB2312" w:eastAsia="仿宋_GB2312"/>
          <w:sz w:val="32"/>
          <w:szCs w:val="32"/>
          <w:lang w:val="en-US" w:eastAsia="zh-CN"/>
        </w:rPr>
        <w:t>4</w:t>
      </w:r>
      <w:r>
        <w:rPr>
          <w:rFonts w:hint="eastAsia" w:ascii="仿宋_GB2312" w:eastAsia="仿宋_GB2312"/>
          <w:sz w:val="32"/>
          <w:szCs w:val="32"/>
        </w:rPr>
        <w:t>年底，北京高校大学生就业创业指导中心共有车辆1台，共计31.59万元；</w:t>
      </w:r>
      <w:r>
        <w:rPr>
          <w:rFonts w:hint="eastAsia" w:ascii="仿宋_GB2312" w:eastAsia="仿宋_GB2312"/>
          <w:sz w:val="32"/>
          <w:szCs w:val="32"/>
          <w:highlight w:val="none"/>
        </w:rPr>
        <w:t>单位价值50万元以上的设备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台（套），共计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2025</w:t>
      </w:r>
      <w:r>
        <w:rPr>
          <w:rFonts w:hint="eastAsia" w:ascii="仿宋_GB2312" w:eastAsia="仿宋_GB2312"/>
          <w:sz w:val="32"/>
          <w:szCs w:val="32"/>
          <w:lang w:val="en-US" w:eastAsia="zh-CN"/>
        </w:rPr>
        <w:t>年预算安排中，购置</w:t>
      </w:r>
      <w:r>
        <w:rPr>
          <w:rFonts w:hint="eastAsia" w:ascii="仿宋_GB2312" w:eastAsia="仿宋_GB2312"/>
          <w:sz w:val="32"/>
          <w:szCs w:val="32"/>
        </w:rPr>
        <w:t>单位价值</w:t>
      </w:r>
      <w:r>
        <w:rPr>
          <w:rFonts w:hint="eastAsia" w:ascii="仿宋_GB2312" w:eastAsia="仿宋_GB2312"/>
          <w:sz w:val="32"/>
          <w:szCs w:val="32"/>
          <w:lang w:val="en-US" w:eastAsia="zh-CN"/>
        </w:rPr>
        <w:t>5</w:t>
      </w:r>
      <w:r>
        <w:rPr>
          <w:rFonts w:hint="eastAsia" w:ascii="仿宋_GB2312" w:eastAsia="仿宋_GB2312"/>
          <w:sz w:val="32"/>
          <w:szCs w:val="32"/>
        </w:rPr>
        <w:t>0万元以上的设备</w:t>
      </w:r>
      <w:r>
        <w:rPr>
          <w:rFonts w:hint="eastAsia" w:ascii="仿宋_GB2312" w:eastAsia="仿宋_GB2312"/>
          <w:sz w:val="32"/>
          <w:szCs w:val="32"/>
          <w:lang w:val="en-US" w:eastAsia="zh-CN"/>
        </w:rPr>
        <w:t>0</w:t>
      </w:r>
      <w:r>
        <w:rPr>
          <w:rFonts w:hint="eastAsia" w:ascii="仿宋_GB2312" w:eastAsia="仿宋_GB2312"/>
          <w:sz w:val="32"/>
          <w:szCs w:val="32"/>
        </w:rPr>
        <w:t>台（套）、共计</w:t>
      </w:r>
      <w:r>
        <w:rPr>
          <w:rFonts w:hint="eastAsia" w:ascii="仿宋_GB2312" w:eastAsia="仿宋_GB2312"/>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firstLine="640" w:firstLineChars="200"/>
        <w:textAlignment w:val="auto"/>
        <w:rPr>
          <w:rFonts w:ascii="黑体" w:eastAsia="黑体"/>
          <w:color w:val="000000"/>
          <w:sz w:val="32"/>
          <w:szCs w:val="32"/>
        </w:rPr>
      </w:pPr>
      <w:r>
        <w:rPr>
          <w:rFonts w:hint="eastAsia" w:ascii="黑体" w:eastAsia="黑体"/>
          <w:color w:val="000000"/>
          <w:sz w:val="32"/>
          <w:szCs w:val="32"/>
        </w:rPr>
        <w:t>名词解释</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pPr>
      <w:r>
        <w:rPr>
          <w:rFonts w:hint="eastAsia" w:ascii="仿宋_GB2312" w:eastAsia="仿宋_GB2312"/>
          <w:color w:val="000000"/>
          <w:sz w:val="32"/>
          <w:szCs w:val="32"/>
        </w:rPr>
        <w:t>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ascii="仿宋_GB2312" w:eastAsia="仿宋_GB2312"/>
          <w:sz w:val="32"/>
          <w:szCs w:val="32"/>
        </w:rPr>
      </w:pPr>
      <w:r>
        <w:rPr>
          <w:rFonts w:hint="eastAsia" w:ascii="仿宋_GB2312" w:eastAsia="仿宋_GB2312"/>
          <w:sz w:val="32"/>
          <w:szCs w:val="32"/>
        </w:rPr>
        <w:t>“三公”经费财政拨款预算数：指本单位当年单位预算安排的因公出国（境）费用、公务接待费、公务用车购置和运行维护费预算数。</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eastAsia="仿宋_GB2312"/>
          <w:sz w:val="32"/>
          <w:szCs w:val="32"/>
        </w:rPr>
      </w:pPr>
      <w:r>
        <w:rPr>
          <w:rFonts w:hint="eastAsia" w:ascii="仿宋_GB2312"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rPr>
          <w:rFonts w:hint="eastAsia" w:ascii="仿宋_GB2312" w:eastAsia="仿宋_GB2312"/>
          <w:sz w:val="32"/>
          <w:szCs w:val="32"/>
        </w:rPr>
      </w:pPr>
    </w:p>
    <w:p>
      <w:pPr>
        <w:pStyle w:val="5"/>
        <w:ind w:left="0" w:leftChars="0" w:firstLine="0" w:firstLineChars="0"/>
        <w:rPr>
          <w:rFonts w:hint="eastAsia" w:ascii="仿宋_GB2312" w:eastAsia="仿宋_GB2312"/>
          <w:sz w:val="32"/>
          <w:szCs w:val="32"/>
        </w:rPr>
        <w:sectPr>
          <w:pgSz w:w="11906" w:h="16838"/>
          <w:pgMar w:top="1440" w:right="1800" w:bottom="1440" w:left="1800" w:header="851" w:footer="992" w:gutter="0"/>
          <w:pgNumType w:fmt="numberInDash"/>
          <w:cols w:space="425" w:num="1"/>
          <w:docGrid w:type="lines" w:linePitch="312" w:charSpace="0"/>
        </w:sect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555"/>
        <w:rPr>
          <w:rFonts w:ascii="仿宋_GB2312" w:eastAsia="仿宋_GB2312"/>
          <w:sz w:val="32"/>
          <w:szCs w:val="32"/>
        </w:rPr>
      </w:pPr>
      <w:r>
        <w:rPr>
          <w:rFonts w:hint="eastAsia" w:ascii="仿宋_GB2312" w:eastAsia="仿宋_GB2312"/>
          <w:sz w:val="32"/>
          <w:szCs w:val="32"/>
        </w:rPr>
        <w:t>附件：北京高校大学生就业创业指导中心202</w:t>
      </w:r>
      <w:r>
        <w:rPr>
          <w:rFonts w:hint="eastAsia" w:ascii="仿宋_GB2312" w:eastAsia="仿宋_GB2312"/>
          <w:sz w:val="32"/>
          <w:szCs w:val="32"/>
          <w:lang w:val="en-US" w:eastAsia="zh-CN"/>
        </w:rPr>
        <w:t>5</w:t>
      </w:r>
      <w:r>
        <w:rPr>
          <w:rFonts w:hint="eastAsia" w:ascii="仿宋_GB2312" w:eastAsia="仿宋_GB2312"/>
          <w:sz w:val="32"/>
          <w:szCs w:val="32"/>
        </w:rPr>
        <w:t>年度单位预算报表</w:t>
      </w:r>
    </w:p>
    <w:p>
      <w:pPr>
        <w:rPr>
          <w:sz w:val="32"/>
          <w:szCs w:val="32"/>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Lucida Sans">
    <w:altName w:val="Noto Naskh Arabic"/>
    <w:panose1 w:val="020B0602030504020204"/>
    <w:charset w:val="00"/>
    <w:family w:val="auto"/>
    <w:pitch w:val="default"/>
    <w:sig w:usb0="00000000" w:usb1="00000000" w:usb2="00000000" w:usb3="00000000" w:csb0="20000001" w:csb1="00000000"/>
  </w:font>
  <w:font w:name="Noto Naskh Arabic">
    <w:panose1 w:val="020B0502040504020204"/>
    <w:charset w:val="00"/>
    <w:family w:val="auto"/>
    <w:pitch w:val="default"/>
    <w:sig w:usb0="80002003" w:usb1="80002000" w:usb2="00000008" w:usb3="00000000" w:csb0="00000041" w:csb1="0008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A00002BF" w:usb1="38CF7CFA" w:usb2="00082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Lucida Sans">
    <w:altName w:val="Noto Naskh Arabic"/>
    <w:panose1 w:val="020B0602030504020204"/>
    <w:charset w:val="01"/>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88900" cy="271145"/>
              <wp:effectExtent l="0" t="0" r="0" b="0"/>
              <wp:wrapNone/>
              <wp:docPr id="1" name="文本框 3"/>
              <wp:cNvGraphicFramePr/>
              <a:graphic xmlns:a="http://schemas.openxmlformats.org/drawingml/2006/main">
                <a:graphicData uri="http://schemas.microsoft.com/office/word/2010/wordprocessingShape">
                  <wps:wsp>
                    <wps:cNvSpPr/>
                    <wps:spPr>
                      <a:xfrm>
                        <a:off x="0" y="0"/>
                        <a:ext cx="88900" cy="271453"/>
                      </a:xfrm>
                      <a:prstGeom prst="rect">
                        <a:avLst/>
                      </a:prstGeom>
                      <a:noFill/>
                      <a:ln w="9525" cap="flat" cmpd="sng">
                        <a:noFill/>
                        <a:prstDash val="solid"/>
                        <a:round/>
                      </a:ln>
                    </wps:spPr>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- 1 -</w:t>
                          </w:r>
                          <w:r>
                            <w:rPr>
                              <w:rFonts w:ascii="宋体" w:hAnsi="宋体"/>
                              <w:sz w:val="28"/>
                              <w:szCs w:val="28"/>
                            </w:rPr>
                            <w:fldChar w:fldCharType="end"/>
                          </w:r>
                        </w:p>
                      </w:txbxContent>
                    </wps:txbx>
                    <wps:bodyPr vert="horz" wrap="none" lIns="0" tIns="0" rIns="0" bIns="0" anchor="t" anchorCtr="0" upright="1">
                      <a:spAutoFit/>
                    </wps:bodyPr>
                  </wps:wsp>
                </a:graphicData>
              </a:graphic>
            </wp:anchor>
          </w:drawing>
        </mc:Choice>
        <mc:Fallback>
          <w:pict>
            <v:rect id="文本框 3" o:spid="_x0000_s1026" o:spt="1" style="position:absolute;left:0pt;margin-top:0pt;height:21.35pt;width:7pt;mso-position-horizontal:outside;mso-position-horizontal-relative:margin;mso-wrap-style:none;z-index:251659264;mso-width-relative:page;mso-height-relative:page;" filled="f" stroked="f" coordsize="21600,21600" o:gfxdata="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WAAAAZHJzL1BLAQIUABQAAAAIAIdO4kCjy9Wb0QAAAAMBAAAPAAAAAAAA&#10;AAEAIAAAADgAAABkcnMvZG93bnJldi54bWxQSwECFAAUAAAACACHTuJA/5xAvQMCAADzAwAADgAA&#10;AAAAAAABACAAAAA2AQAAZHJzL2Uyb0RvYy54bWxQSwUGAAAAAAYABgBZAQAAqwUAAAAA&#10;">
              <v:fill on="f" focussize="0,0"/>
              <v:stroke on="f" joinstyle="round"/>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- 1 -</w:t>
                    </w:r>
                    <w:r>
                      <w:rPr>
                        <w:rFonts w:ascii="宋体" w:hAnsi="宋体"/>
                        <w:sz w:val="28"/>
                        <w:szCs w:val="28"/>
                      </w:rPr>
                      <w:fldChar w:fldCharType="end"/>
                    </w:r>
                  </w:p>
                </w:txbxContent>
              </v:textbox>
            </v:rect>
          </w:pict>
        </mc:Fallback>
      </mc:AlternateContent>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ED795E"/>
    <w:multiLevelType w:val="singleLevel"/>
    <w:tmpl w:val="B4ED795E"/>
    <w:lvl w:ilvl="0" w:tentative="0">
      <w:start w:val="7"/>
      <w:numFmt w:val="chineseCounting"/>
      <w:suff w:val="nothing"/>
      <w:lvlText w:val="（%1）"/>
      <w:lvlJc w:val="left"/>
      <w:rPr>
        <w:rFonts w:hint="eastAsia"/>
      </w:rPr>
    </w:lvl>
  </w:abstractNum>
  <w:abstractNum w:abstractNumId="1">
    <w:nsid w:val="21A768E8"/>
    <w:multiLevelType w:val="singleLevel"/>
    <w:tmpl w:val="21A768E8"/>
    <w:lvl w:ilvl="0" w:tentative="0">
      <w:start w:val="2"/>
      <w:numFmt w:val="chineseCounting"/>
      <w:suff w:val="nothing"/>
      <w:lvlText w:val="（%1）"/>
      <w:lvlJc w:val="left"/>
      <w:rPr>
        <w:rFonts w:hint="eastAsia"/>
      </w:rPr>
    </w:lvl>
  </w:abstractNum>
  <w:abstractNum w:abstractNumId="2">
    <w:nsid w:val="4286E813"/>
    <w:multiLevelType w:val="singleLevel"/>
    <w:tmpl w:val="4286E813"/>
    <w:lvl w:ilvl="0" w:tentative="0">
      <w:start w:val="6"/>
      <w:numFmt w:val="chineseCounting"/>
      <w:suff w:val="nothing"/>
      <w:lvlText w:val="%1、"/>
      <w:lvlJc w:val="left"/>
      <w:rPr>
        <w:rFonts w:hint="eastAsia"/>
      </w:rPr>
    </w:lvl>
  </w:abstractNum>
  <w:abstractNum w:abstractNumId="3">
    <w:nsid w:val="7231D67E"/>
    <w:multiLevelType w:val="singleLevel"/>
    <w:tmpl w:val="7231D67E"/>
    <w:lvl w:ilvl="0" w:tentative="0">
      <w:start w:val="2"/>
      <w:numFmt w:val="chineseCounting"/>
      <w:suff w:val="nothing"/>
      <w:lvlText w:val="%1、"/>
      <w:lvlJc w:val="left"/>
      <w:rPr>
        <w:rFonts w:hint="eastAsia"/>
      </w:rPr>
    </w:lvl>
  </w:abstractNum>
  <w:abstractNum w:abstractNumId="4">
    <w:nsid w:val="74A2F9EB"/>
    <w:multiLevelType w:val="singleLevel"/>
    <w:tmpl w:val="74A2F9EB"/>
    <w:lvl w:ilvl="0" w:tentative="0">
      <w:start w:val="2"/>
      <w:numFmt w:val="chineseCounting"/>
      <w:suff w:val="nothing"/>
      <w:lvlText w:val="（%1）"/>
      <w:lvlJc w:val="left"/>
      <w:rPr>
        <w:rFonts w:hint="eastAsia"/>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ZDQyOWY4OWIxZmJkOTIyMDIwODc2Y2FmNTYxMDcxZjkifQ=="/>
    <w:docVar w:name="KSO_WPS_MARK_KEY" w:val="2a9cb19d-3236-4ab5-9b54-208022af3fe0"/>
  </w:docVars>
  <w:rsids>
    <w:rsidRoot w:val="00000000"/>
    <w:rsid w:val="06E705F2"/>
    <w:rsid w:val="072458B8"/>
    <w:rsid w:val="0DA75FBD"/>
    <w:rsid w:val="0F6B57CF"/>
    <w:rsid w:val="102F7B5F"/>
    <w:rsid w:val="115728D9"/>
    <w:rsid w:val="14067033"/>
    <w:rsid w:val="15327E40"/>
    <w:rsid w:val="153B7254"/>
    <w:rsid w:val="16886A96"/>
    <w:rsid w:val="18631AFF"/>
    <w:rsid w:val="19FA035C"/>
    <w:rsid w:val="1C1A0AC7"/>
    <w:rsid w:val="272E4270"/>
    <w:rsid w:val="272F45BD"/>
    <w:rsid w:val="33CC0F32"/>
    <w:rsid w:val="39752552"/>
    <w:rsid w:val="3B8644B0"/>
    <w:rsid w:val="3EF038F1"/>
    <w:rsid w:val="3FDE3BDB"/>
    <w:rsid w:val="40FFAFD5"/>
    <w:rsid w:val="415B413C"/>
    <w:rsid w:val="429A76AC"/>
    <w:rsid w:val="46434648"/>
    <w:rsid w:val="4732546E"/>
    <w:rsid w:val="47B712FC"/>
    <w:rsid w:val="47EC2B0C"/>
    <w:rsid w:val="48834C9A"/>
    <w:rsid w:val="495F4F2C"/>
    <w:rsid w:val="4DEA1BD2"/>
    <w:rsid w:val="51CE337E"/>
    <w:rsid w:val="56611A1C"/>
    <w:rsid w:val="5BDF8F55"/>
    <w:rsid w:val="5C14180B"/>
    <w:rsid w:val="616C38AD"/>
    <w:rsid w:val="67EF116D"/>
    <w:rsid w:val="69635A4E"/>
    <w:rsid w:val="6C30410D"/>
    <w:rsid w:val="6CA06A64"/>
    <w:rsid w:val="6CA87DFD"/>
    <w:rsid w:val="6EB975DD"/>
    <w:rsid w:val="6F7DC1CA"/>
    <w:rsid w:val="6FA81399"/>
    <w:rsid w:val="6FFFD387"/>
    <w:rsid w:val="70DA0FF4"/>
    <w:rsid w:val="71A00ED1"/>
    <w:rsid w:val="742C1D86"/>
    <w:rsid w:val="743C1B0C"/>
    <w:rsid w:val="74C7ABD9"/>
    <w:rsid w:val="79CC40B6"/>
    <w:rsid w:val="7BEEED27"/>
    <w:rsid w:val="7C7B7F80"/>
    <w:rsid w:val="7C9952B6"/>
    <w:rsid w:val="7E7F8EAF"/>
    <w:rsid w:val="7FB9E37F"/>
    <w:rsid w:val="7FD720C9"/>
    <w:rsid w:val="7FEFFBF6"/>
    <w:rsid w:val="7FF78330"/>
    <w:rsid w:val="8EFF21D1"/>
    <w:rsid w:val="9DBF9B00"/>
    <w:rsid w:val="A7F76754"/>
    <w:rsid w:val="ADDFC419"/>
    <w:rsid w:val="AFFCC40A"/>
    <w:rsid w:val="B813A15A"/>
    <w:rsid w:val="BABC78BA"/>
    <w:rsid w:val="BEFF2DD8"/>
    <w:rsid w:val="BEFF34A3"/>
    <w:rsid w:val="BFB97096"/>
    <w:rsid w:val="CDE4C98B"/>
    <w:rsid w:val="D9FF4252"/>
    <w:rsid w:val="DDFB19AA"/>
    <w:rsid w:val="E54F0C05"/>
    <w:rsid w:val="E59F1BEC"/>
    <w:rsid w:val="E65B8A19"/>
    <w:rsid w:val="E78F5A77"/>
    <w:rsid w:val="F7733E3C"/>
    <w:rsid w:val="F7C5B9C9"/>
    <w:rsid w:val="FAD77865"/>
    <w:rsid w:val="FBBD030E"/>
    <w:rsid w:val="FD7E16DA"/>
    <w:rsid w:val="FEFF293F"/>
    <w:rsid w:val="FF18D407"/>
    <w:rsid w:val="FFBDF129"/>
    <w:rsid w:val="FFEF3AFD"/>
    <w:rsid w:val="FFEFBB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567"/>
    </w:pPr>
    <w:rPr>
      <w:rFonts w:eastAsia="仿宋_GB2312" w:cs="Times New Roman"/>
      <w:sz w:val="32"/>
      <w:szCs w:val="32"/>
    </w:rPr>
  </w:style>
  <w:style w:type="paragraph" w:styleId="6">
    <w:name w:val="footer"/>
    <w:basedOn w:val="1"/>
    <w:qFormat/>
    <w:uiPriority w:val="0"/>
    <w:pPr>
      <w:tabs>
        <w:tab w:val="center" w:pos="4153"/>
        <w:tab w:val="right" w:pos="8306"/>
      </w:tabs>
      <w:snapToGrid w:val="0"/>
      <w:jc w:val="left"/>
    </w:pPr>
    <w:rPr>
      <w:rFonts w:ascii="等线" w:eastAsia="等线" w:cs="Arial"/>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等线" w:eastAsia="等线" w:cs="Arial"/>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400" b="0" i="0" u="none" strike="noStrike" kern="1200" baseline="0">
                <a:solidFill>
                  <a:srgbClr val="595959"/>
                </a:solidFill>
                <a:latin typeface="文泉驿正黑" panose="02000603000000000000" charset="-122"/>
                <a:ea typeface="文泉驿正黑" panose="02000603000000000000" charset="-122"/>
                <a:cs typeface="Lucida Sans" panose="020B0602030504020204"/>
              </a:defRPr>
            </a:pPr>
            <a:r>
              <a:rPr lang="zh-CN"/>
              <a:t>收入预算</a:t>
            </a:r>
            <a:endParaRPr lang="zh-CN"/>
          </a:p>
        </c:rich>
      </c:tx>
      <c:layout/>
      <c:overlay val="0"/>
      <c:spPr>
        <a:noFill/>
        <a:ln>
          <a:noFill/>
        </a:ln>
      </c:spPr>
    </c:title>
    <c:autoTitleDeleted val="0"/>
    <c:plotArea>
      <c:layout/>
      <c:pieChart>
        <c:varyColors val="1"/>
        <c:ser>
          <c:idx val="0"/>
          <c:order val="0"/>
          <c:tx>
            <c:strRef>
              <c:f>Sheet1!$B$1</c:f>
              <c:strCache>
                <c:ptCount val="1"/>
                <c:pt idx="0">
                  <c:v>收入预算</c:v>
                </c:pt>
              </c:strCache>
            </c:strRef>
          </c:tx>
          <c:spPr>
            <a:ln>
              <a:noFill/>
            </a:ln>
          </c:spPr>
          <c:explosion val="0"/>
          <c:dPt>
            <c:idx val="0"/>
            <c:bubble3D val="0"/>
            <c:spPr>
              <a:solidFill>
                <a:srgbClr val="4472C4"/>
              </a:solidFill>
              <a:ln w="19050">
                <a:solidFill>
                  <a:srgbClr val="FFFFFF"/>
                </a:solidFill>
                <a:prstDash val="solid"/>
              </a:ln>
            </c:spPr>
          </c:dPt>
          <c:dPt>
            <c:idx val="1"/>
            <c:bubble3D val="0"/>
            <c:spPr>
              <a:solidFill>
                <a:srgbClr val="ED7D31"/>
              </a:solidFill>
              <a:ln w="19050">
                <a:solidFill>
                  <a:srgbClr val="FFFFFF"/>
                </a:solidFill>
                <a:prstDash val="solid"/>
              </a:ln>
            </c:spPr>
          </c:dPt>
          <c:dPt>
            <c:idx val="2"/>
            <c:bubble3D val="0"/>
            <c:spPr>
              <a:solidFill>
                <a:srgbClr val="A5A5A5"/>
              </a:solidFill>
              <a:ln w="19050">
                <a:solidFill>
                  <a:srgbClr val="FFFFFF"/>
                </a:solidFill>
                <a:prstDash val="solid"/>
              </a:ln>
            </c:spPr>
          </c:dPt>
          <c:dPt>
            <c:idx val="3"/>
            <c:bubble3D val="0"/>
            <c:spPr>
              <a:solidFill>
                <a:srgbClr val="FFC000"/>
              </a:solidFill>
              <a:ln w="19050">
                <a:solidFill>
                  <a:srgbClr val="FFFFFF"/>
                </a:solidFill>
                <a:prstDash val="solid"/>
              </a:ln>
            </c:spPr>
          </c:dPt>
          <c:dLbls>
            <c:dLbl>
              <c:idx val="0"/>
              <c:layout>
                <c:manualLayout>
                  <c:x val="-0.16141726"/>
                  <c:y val="-0.13271174"/>
                </c:manualLayout>
              </c:layout>
              <c:tx>
                <c:rich>
                  <a:bodyPr rot="0" spcFirstLastPara="0" vertOverflow="ellipsis" vert="horz" wrap="square" lIns="38100" tIns="19050" rIns="38100" bIns="19050" anchor="ctr" anchorCtr="1"/>
                  <a:lstStyle/>
                  <a:p>
                    <a:pPr defTabSz="914400">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r>
                      <a:t>78.5</a:t>
                    </a:r>
                    <a:r>
                      <a:rPr lang="en-US" altLang="zh-CN"/>
                      <a:t>0</a:t>
                    </a:r>
                    <a:r>
                      <a:t>%</a:t>
                    </a:r>
                  </a:p>
                </c:rich>
              </c:tx>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431555014451806"/>
                  <c:y val="0.1157881"/>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510632552129016"/>
                  <c:y val="0.20586393"/>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14809333"/>
                  <c:y val="0.09235842"/>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Sheet1!$A$2:$A$5</c:f>
              <c:strCache>
                <c:ptCount val="4"/>
                <c:pt idx="0">
                  <c:v>一般公共预算拨款收入</c:v>
                </c:pt>
                <c:pt idx="1">
                  <c:v>事业单位经营收入</c:v>
                </c:pt>
                <c:pt idx="2">
                  <c:v>其他收入</c:v>
                </c:pt>
                <c:pt idx="3">
                  <c:v>上年结转结余</c:v>
                </c:pt>
              </c:strCache>
            </c:strRef>
          </c:cat>
          <c:val>
            <c:numRef>
              <c:f>Sheet1!$B$2:$B$5</c:f>
              <c:numCache>
                <c:formatCode>General</c:formatCode>
                <c:ptCount val="4"/>
                <c:pt idx="0">
                  <c:v>6619.75</c:v>
                </c:pt>
                <c:pt idx="1">
                  <c:v>1489</c:v>
                </c:pt>
                <c:pt idx="2">
                  <c:v>3</c:v>
                </c:pt>
                <c:pt idx="3">
                  <c:v>320</c:v>
                </c:pt>
              </c:numCache>
            </c:numRef>
          </c:val>
        </c:ser>
        <c:dLbls>
          <c:showLegendKey val="0"/>
          <c:showVal val="0"/>
          <c:showCatName val="0"/>
          <c:showSerName val="0"/>
          <c:showPercent val="1"/>
          <c:showBubbleSize val="0"/>
          <c:showLeaderLines val="1"/>
        </c:dLbls>
        <c:firstSliceAng val="0"/>
      </c:pieChart>
      <c:spPr>
        <a:noFill/>
        <a:ln>
          <a:noFill/>
        </a:ln>
      </c:spPr>
    </c:plotArea>
    <c:legend>
      <c:legendPos val="r"/>
      <c:layout/>
      <c:overlay val="0"/>
      <c:spPr>
        <a:noFill/>
        <a:ln>
          <a:noFill/>
        </a:ln>
      </c:spPr>
      <c:txPr>
        <a:bodyPr rot="0" spcFirstLastPara="0" vertOverflow="ellipsis" vert="horz" wrap="square" anchor="ctr" anchorCtr="1"/>
        <a:lstStyle/>
        <a:p>
          <a:pPr>
            <a:defRPr lang="zh-CN" sz="900" b="0" i="0" u="none" strike="noStrike" kern="1200" baseline="0">
              <a:solidFill>
                <a:srgbClr val="595959"/>
              </a:solidFill>
              <a:latin typeface="文泉驿正黑" panose="02000603000000000000" charset="-122"/>
              <a:ea typeface="文泉驿正黑" panose="02000603000000000000" charset="-122"/>
              <a:cs typeface="Lucida Sans" panose="020B0602030504020204"/>
            </a:defRPr>
          </a:pPr>
        </a:p>
      </c:txPr>
    </c:legend>
    <c:plotVisOnly val="1"/>
    <c:dispBlanksAs val="zero"/>
    <c:showDLblsOverMax val="0"/>
  </c:chart>
  <c:spPr>
    <a:solidFill>
      <a:srgbClr val="FFFFFF"/>
    </a:solidFill>
    <a:ln w="6350" cap="flat" cmpd="sng" algn="ctr">
      <a:solidFill>
        <a:srgbClr val="D9D9D9"/>
      </a:solidFill>
      <a:prstDash val="solid"/>
      <a:round/>
    </a:ln>
  </c:spPr>
  <c:txPr>
    <a:bodyPr/>
    <a:lstStyle/>
    <a:p>
      <a:pPr>
        <a:defRPr lang="zh-CN" sz="1000" b="0" i="0" u="none" strike="noStrike" baseline="0">
          <a:solidFill>
            <a:srgbClr val="000000"/>
          </a:solidFill>
          <a:latin typeface="文泉驿正黑" panose="02000603000000000000" charset="-122"/>
          <a:ea typeface="文泉驿正黑" panose="02000603000000000000" charset="-122"/>
          <a:cs typeface="Lucida Sans" panose="020B0602030504020204"/>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rgbClr val="000000"/>
                </a:solidFill>
                <a:latin typeface="文泉驿正黑" panose="02000603000000000000" charset="-122"/>
                <a:ea typeface="文泉驿正黑" panose="02000603000000000000" charset="-122"/>
                <a:cs typeface="Lucida Sans" panose="020B0602030504020204"/>
              </a:defRPr>
            </a:pPr>
            <a:r>
              <a:rPr lang="zh-CN"/>
              <a:t> </a:t>
            </a:r>
            <a:endParaRPr lang="zh-CN"/>
          </a:p>
        </c:rich>
      </c:tx>
      <c:layout/>
      <c:overlay val="0"/>
      <c:spPr>
        <a:noFill/>
        <a:ln>
          <a:noFill/>
        </a:ln>
      </c:spPr>
    </c:title>
    <c:autoTitleDeleted val="0"/>
    <c:plotArea>
      <c:layout/>
      <c:pieChart>
        <c:varyColors val="1"/>
        <c:ser>
          <c:idx val="0"/>
          <c:order val="0"/>
          <c:tx>
            <c:strRef>
              <c:f>'Sheet1 (2)'!$B$1</c:f>
              <c:strCache>
                <c:ptCount val="1"/>
                <c:pt idx="0">
                  <c:v>无</c:v>
                </c:pt>
              </c:strCache>
            </c:strRef>
          </c:tx>
          <c:spPr>
            <a:ln>
              <a:noFill/>
            </a:ln>
          </c:spPr>
          <c:explosion val="0"/>
          <c:dPt>
            <c:idx val="0"/>
            <c:bubble3D val="0"/>
            <c:spPr>
              <a:solidFill>
                <a:srgbClr val="4472C4"/>
              </a:solidFill>
              <a:ln w="19050">
                <a:solidFill>
                  <a:srgbClr val="FFFFFF"/>
                </a:solidFill>
                <a:prstDash val="solid"/>
              </a:ln>
            </c:spPr>
          </c:dPt>
          <c:dPt>
            <c:idx val="1"/>
            <c:bubble3D val="0"/>
            <c:spPr>
              <a:solidFill>
                <a:srgbClr val="ED7D31"/>
              </a:solidFill>
              <a:ln w="19050">
                <a:solidFill>
                  <a:srgbClr val="FFFFFF"/>
                </a:solidFill>
                <a:prstDash val="solid"/>
              </a:ln>
            </c:spPr>
          </c:dPt>
          <c:dLbls>
            <c:dLbl>
              <c:idx val="0"/>
              <c:layout>
                <c:manualLayout>
                  <c:x val="-0.18752639"/>
                  <c:y val="0.10423893"/>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819014"/>
                  <c:y val="-0.076738894"/>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50" b="1" i="0" u="none" strike="noStrike" kern="1200" baseline="0">
                    <a:solidFill>
                      <a:srgbClr val="404040"/>
                    </a:solidFill>
                    <a:latin typeface="文泉驿正黑" panose="02000603000000000000" charset="-122"/>
                    <a:ea typeface="文泉驿正黑" panose="02000603000000000000" charset="-122"/>
                    <a:cs typeface="Lucida Sans" panose="020B0602030504020204"/>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 (2)'!$A$2:$A$3</c:f>
              <c:strCache>
                <c:ptCount val="2"/>
                <c:pt idx="0">
                  <c:v>基本支出</c:v>
                </c:pt>
                <c:pt idx="1">
                  <c:v>项目支出</c:v>
                </c:pt>
              </c:strCache>
            </c:strRef>
          </c:cat>
          <c:val>
            <c:numRef>
              <c:f>'Sheet1 (2)'!$B$2:$B$3</c:f>
              <c:numCache>
                <c:formatCode>General</c:formatCode>
                <c:ptCount val="2"/>
                <c:pt idx="0">
                  <c:v>2704.61</c:v>
                </c:pt>
                <c:pt idx="1">
                  <c:v>5727.14</c:v>
                </c:pt>
              </c:numCache>
            </c:numRef>
          </c:val>
        </c:ser>
        <c:dLbls>
          <c:showLegendKey val="0"/>
          <c:showVal val="0"/>
          <c:showCatName val="0"/>
          <c:showSerName val="0"/>
          <c:showPercent val="1"/>
          <c:showBubbleSize val="0"/>
          <c:showLeaderLines val="1"/>
        </c:dLbls>
        <c:firstSliceAng val="0"/>
      </c:pieChart>
      <c:spPr>
        <a:noFill/>
        <a:ln>
          <a:noFill/>
        </a:ln>
      </c:spPr>
    </c:plotArea>
    <c:legend>
      <c:legendPos val="b"/>
      <c:layout/>
      <c:overlay val="0"/>
      <c:spPr>
        <a:noFill/>
        <a:ln>
          <a:noFill/>
        </a:ln>
      </c:spPr>
      <c:txPr>
        <a:bodyPr rot="0" spcFirstLastPara="0" vertOverflow="ellipsis" vert="horz" wrap="square" anchor="ctr" anchorCtr="1"/>
        <a:lstStyle/>
        <a:p>
          <a:pPr>
            <a:defRPr lang="zh-CN" sz="900" b="0" i="0" u="none" strike="noStrike" kern="1200" baseline="0">
              <a:solidFill>
                <a:srgbClr val="595959"/>
              </a:solidFill>
              <a:latin typeface="文泉驿正黑" panose="02000603000000000000" charset="-122"/>
              <a:ea typeface="文泉驿正黑" panose="02000603000000000000" charset="-122"/>
              <a:cs typeface="Lucida Sans" panose="020B0602030504020204"/>
            </a:defRPr>
          </a:pPr>
        </a:p>
      </c:txPr>
    </c:legend>
    <c:plotVisOnly val="1"/>
    <c:dispBlanksAs val="zero"/>
    <c:showDLblsOverMax val="0"/>
  </c:chart>
  <c:spPr>
    <a:solidFill>
      <a:srgbClr val="FFFFFF"/>
    </a:solidFill>
    <a:ln w="6350" cap="flat" cmpd="sng" algn="ctr">
      <a:solidFill>
        <a:srgbClr val="D9D9D9"/>
      </a:solidFill>
      <a:prstDash val="solid"/>
      <a:round/>
    </a:ln>
  </c:spPr>
  <c:txPr>
    <a:bodyPr/>
    <a:lstStyle/>
    <a:p>
      <a:pPr>
        <a:defRPr lang="zh-CN" sz="1000" b="0" i="0" u="none" strike="noStrike" baseline="0">
          <a:solidFill>
            <a:srgbClr val="000000"/>
          </a:solidFill>
          <a:latin typeface="文泉驿正黑" panose="02000603000000000000" charset="-122"/>
          <a:ea typeface="文泉驿正黑" panose="02000603000000000000" charset="-122"/>
          <a:cs typeface="Lucida Sans" panose="020B0602030504020204"/>
        </a:defRPr>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8</Pages>
  <Words>1948</Words>
  <Characters>2207</Characters>
  <Lines>0</Lines>
  <Paragraphs>94</Paragraphs>
  <TotalTime>0</TotalTime>
  <ScaleCrop>false</ScaleCrop>
  <LinksUpToDate>false</LinksUpToDate>
  <CharactersWithSpaces>2217</CharactersWithSpaces>
  <Application>WPS Office_12.8.2.1113_F1E327BC-269C-435d-A152-05C5408002CA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2023-02-18T10:41:00Z</dcterms:created>
  <dc:creator>li Katherine</dc:creator>
  <cp:lastModifiedBy>uos</cp:lastModifiedBy>
  <dcterms:modified xsi:type="dcterms:W3CDTF">2025-03-04T09:32:25Z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182C9953AB521F8C2D2BB467F77B5C62_43</vt:lpwstr>
  </property>
  <property fmtid="{D5CDD505-2E9C-101B-9397-08002B2CF9AE}" pid="4" name="KSOTemplateDocerSaveRecord">
    <vt:lpwstr>eyJoZGlkIjoiNWIwN2JhMTUyZDhjOWJiNzMzOWVkYTJlY2MyNDVhOGMiLCJ1c2VySWQiOiIzNzg2MjU1MDAifQ==</vt:lpwstr>
  </property>
</Properties>
</file>