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pPr>
    </w:p>
    <w:p>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市委教育工委市教委综合事务中心</w:t>
      </w:r>
    </w:p>
    <w:p>
      <w:pPr>
        <w:spacing w:line="560" w:lineRule="exact"/>
        <w:jc w:val="center"/>
        <w:rPr>
          <w:rFonts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2025年度单位预算信息公开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pStyle w:val="2"/>
        <w:rPr>
          <w:color w:val="000000"/>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2"/>
      </w:pPr>
    </w:p>
    <w:p/>
    <w:p>
      <w:pPr>
        <w:pStyle w:val="2"/>
      </w:pPr>
    </w:p>
    <w:p/>
    <w:p>
      <w:pPr>
        <w:pStyle w:val="2"/>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市委教育工委市教委综合事务中心为公益一类事业单位，主要职责是为市委教育工委、市教委机关提供综合服务保障。</w:t>
      </w:r>
    </w:p>
    <w:p>
      <w:pPr>
        <w:spacing w:line="560" w:lineRule="exact"/>
        <w:ind w:firstLine="640" w:firstLineChars="200"/>
        <w:rPr>
          <w:rFonts w:ascii="仿宋_GB2312" w:eastAsia="仿宋_GB2312"/>
          <w:color w:val="1F3864"/>
          <w:sz w:val="24"/>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市委教育工委市教委综合事务中心内设5个机构，分别是综合办公室、财务管理科、综合服务科、物资管理科及安全管理科。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rPr>
        <w:t>市委教育工委市教委综合事务中心部门行政编制0人，实际0人；事业编制37人，实际26人；聘用人员（其他聘用人员--临时工）14人。</w:t>
      </w:r>
      <w:r>
        <w:rPr>
          <w:rFonts w:hint="eastAsia" w:ascii="仿宋_GB2312" w:eastAsia="仿宋_GB2312"/>
          <w:color w:val="000000"/>
          <w:sz w:val="32"/>
          <w:szCs w:val="32"/>
          <w:highlight w:val="none"/>
        </w:rPr>
        <w:t>离退休人员</w:t>
      </w:r>
      <w:r>
        <w:rPr>
          <w:rFonts w:hint="eastAsia" w:ascii="仿宋_GB2312" w:eastAsia="仿宋_GB2312"/>
          <w:color w:val="000000"/>
          <w:sz w:val="32"/>
          <w:szCs w:val="32"/>
          <w:highlight w:val="none"/>
          <w:lang w:val="en-US" w:eastAsia="zh-CN"/>
        </w:rPr>
        <w:t>35</w:t>
      </w:r>
      <w:r>
        <w:rPr>
          <w:rFonts w:hint="eastAsia" w:ascii="仿宋_GB2312" w:eastAsia="仿宋_GB2312"/>
          <w:color w:val="000000"/>
          <w:sz w:val="32"/>
          <w:szCs w:val="32"/>
          <w:highlight w:val="none"/>
        </w:rPr>
        <w:t>人，其中：离休0人，退休</w:t>
      </w:r>
      <w:r>
        <w:rPr>
          <w:rFonts w:hint="eastAsia" w:ascii="仿宋_GB2312" w:eastAsia="仿宋_GB2312"/>
          <w:color w:val="000000"/>
          <w:sz w:val="32"/>
          <w:szCs w:val="32"/>
          <w:highlight w:val="none"/>
          <w:lang w:val="en-US" w:eastAsia="zh-CN"/>
        </w:rPr>
        <w:t>35</w:t>
      </w:r>
      <w:r>
        <w:rPr>
          <w:rFonts w:hint="eastAsia" w:ascii="仿宋_GB2312" w:eastAsia="仿宋_GB2312"/>
          <w:color w:val="000000"/>
          <w:sz w:val="32"/>
          <w:szCs w:val="32"/>
          <w:highlight w:val="none"/>
        </w:rPr>
        <w:t>人。</w:t>
      </w:r>
    </w:p>
    <w:p>
      <w:pPr>
        <w:spacing w:line="560" w:lineRule="exact"/>
        <w:ind w:firstLine="640" w:firstLineChars="200"/>
        <w:rPr>
          <w:rFonts w:ascii="仿宋_GB2312" w:eastAsia="仿宋_GB2312"/>
          <w:color w:val="1F3864"/>
          <w:sz w:val="24"/>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2025年度收入预算</w:t>
      </w:r>
      <w:r>
        <w:rPr>
          <w:rFonts w:ascii="仿宋_GB2312" w:eastAsia="仿宋_GB2312"/>
          <w:sz w:val="32"/>
          <w:szCs w:val="32"/>
        </w:rPr>
        <w:t>1321.35</w:t>
      </w:r>
      <w:r>
        <w:rPr>
          <w:rFonts w:hint="eastAsia" w:ascii="仿宋_GB2312" w:eastAsia="仿宋_GB2312"/>
          <w:sz w:val="32"/>
          <w:szCs w:val="32"/>
        </w:rPr>
        <w:t>万元，比2024年年初预算数</w:t>
      </w:r>
      <w:r>
        <w:rPr>
          <w:rFonts w:ascii="仿宋_GB2312" w:eastAsia="仿宋_GB2312"/>
          <w:sz w:val="32"/>
          <w:szCs w:val="32"/>
        </w:rPr>
        <w:t>1315.8</w:t>
      </w:r>
      <w:r>
        <w:rPr>
          <w:rFonts w:hint="eastAsia" w:ascii="仿宋_GB2312" w:eastAsia="仿宋_GB2312"/>
          <w:sz w:val="32"/>
          <w:szCs w:val="32"/>
        </w:rPr>
        <w:t>2万元增加5</w:t>
      </w:r>
      <w:r>
        <w:rPr>
          <w:rFonts w:ascii="仿宋_GB2312" w:eastAsia="仿宋_GB2312"/>
          <w:sz w:val="32"/>
          <w:szCs w:val="32"/>
        </w:rPr>
        <w:t>.53</w:t>
      </w:r>
      <w:r>
        <w:rPr>
          <w:rFonts w:hint="eastAsia" w:ascii="仿宋_GB2312" w:eastAsia="仿宋_GB2312"/>
          <w:sz w:val="32"/>
          <w:szCs w:val="32"/>
        </w:rPr>
        <w:t>万元，增长0</w:t>
      </w:r>
      <w:r>
        <w:rPr>
          <w:rFonts w:ascii="仿宋_GB2312" w:eastAsia="仿宋_GB2312"/>
          <w:sz w:val="32"/>
          <w:szCs w:val="32"/>
        </w:rPr>
        <w:t>.42</w:t>
      </w:r>
      <w:r>
        <w:rPr>
          <w:rFonts w:hint="eastAsia" w:ascii="仿宋_GB2312" w:eastAsia="仿宋_GB2312"/>
          <w:sz w:val="32"/>
          <w:szCs w:val="32"/>
        </w:rPr>
        <w:t>%。主要原因是根据事业发展需要增加预算安排。</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1294.23</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1294.23</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0.10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0.10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27.02</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27.02</w:t>
      </w:r>
      <w:r>
        <w:rPr>
          <w:rFonts w:hint="eastAsia" w:ascii="仿宋_GB2312" w:eastAsia="仿宋_GB2312"/>
          <w:sz w:val="32"/>
          <w:szCs w:val="32"/>
        </w:rPr>
        <w:t>万元。</w:t>
      </w:r>
    </w:p>
    <w:p>
      <w:pPr>
        <w:pStyle w:val="2"/>
        <w:jc w:val="center"/>
      </w:pPr>
    </w:p>
    <w:p>
      <w:r>
        <w:drawing>
          <wp:inline distT="0" distB="0" distL="0" distR="0">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ascii="仿宋_GB2312" w:eastAsia="仿宋_GB2312"/>
          <w:b w:val="0"/>
          <w:bCs w:val="0"/>
          <w:sz w:val="32"/>
        </w:rPr>
      </w:pPr>
      <w:r>
        <w:rPr>
          <w:rFonts w:hint="eastAsia" w:ascii="仿宋_GB2312" w:eastAsia="仿宋_GB2312"/>
          <w:sz w:val="32"/>
        </w:rPr>
        <w:t>图1：收入预算</w:t>
      </w:r>
    </w:p>
    <w:p>
      <w:pPr>
        <w:spacing w:line="560" w:lineRule="exact"/>
        <w:ind w:firstLine="640" w:firstLineChars="200"/>
        <w:rPr>
          <w:rFonts w:ascii="仿宋_GB2312" w:eastAsia="仿宋_GB2312"/>
          <w:color w:val="1F3864"/>
          <w:sz w:val="24"/>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w:t>
      </w:r>
      <w:r>
        <w:rPr>
          <w:rFonts w:ascii="仿宋_GB2312" w:eastAsia="仿宋_GB2312"/>
          <w:sz w:val="32"/>
          <w:szCs w:val="32"/>
        </w:rPr>
        <w:t>1321.35</w:t>
      </w:r>
      <w:r>
        <w:rPr>
          <w:rFonts w:hint="eastAsia" w:ascii="仿宋_GB2312" w:eastAsia="仿宋_GB2312"/>
          <w:sz w:val="32"/>
          <w:szCs w:val="32"/>
        </w:rPr>
        <w:t>万元，比2024年年初预算数1315.82万元增加</w:t>
      </w:r>
      <w:r>
        <w:rPr>
          <w:rFonts w:hint="eastAsia" w:ascii="仿宋_GB2312" w:eastAsia="仿宋_GB2312"/>
          <w:sz w:val="32"/>
          <w:szCs w:val="32"/>
          <w:highlight w:val="none"/>
          <w:lang w:val="en-US" w:eastAsia="zh-CN"/>
        </w:rPr>
        <w:t>5.53</w:t>
      </w:r>
      <w:r>
        <w:rPr>
          <w:rFonts w:hint="eastAsia" w:ascii="仿宋_GB2312" w:eastAsia="仿宋_GB2312"/>
          <w:sz w:val="32"/>
          <w:szCs w:val="32"/>
          <w:highlight w:val="none"/>
        </w:rPr>
        <w:t>万</w:t>
      </w:r>
      <w:r>
        <w:rPr>
          <w:rFonts w:hint="eastAsia" w:ascii="仿宋_GB2312" w:eastAsia="仿宋_GB2312"/>
          <w:sz w:val="32"/>
          <w:szCs w:val="32"/>
        </w:rPr>
        <w:t>元，增长</w:t>
      </w:r>
      <w:r>
        <w:rPr>
          <w:rFonts w:hint="eastAsia" w:ascii="仿宋_GB2312" w:eastAsia="仿宋_GB2312"/>
          <w:sz w:val="32"/>
          <w:szCs w:val="32"/>
          <w:lang w:val="en-US" w:eastAsia="zh-CN"/>
        </w:rPr>
        <w:t>0.42</w:t>
      </w:r>
      <w:r>
        <w:rPr>
          <w:rFonts w:hint="eastAsia" w:ascii="仿宋_GB2312" w:eastAsia="仿宋_GB2312"/>
          <w:sz w:val="32"/>
          <w:szCs w:val="32"/>
        </w:rPr>
        <w:t>%。主要原因是根据事业发展需要增加预算安排。</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1276.32</w:t>
      </w:r>
      <w:r>
        <w:rPr>
          <w:rFonts w:hint="eastAsia" w:ascii="仿宋_GB2312" w:eastAsia="仿宋_GB2312"/>
          <w:sz w:val="32"/>
          <w:szCs w:val="32"/>
        </w:rPr>
        <w:t>万元，占本年支出预算</w:t>
      </w:r>
      <w:r>
        <w:rPr>
          <w:rFonts w:ascii="仿宋_GB2312" w:eastAsia="仿宋_GB2312"/>
          <w:sz w:val="32"/>
          <w:szCs w:val="32"/>
        </w:rPr>
        <w:t>96.95</w:t>
      </w:r>
      <w:r>
        <w:rPr>
          <w:rFonts w:hint="eastAsia" w:ascii="仿宋_GB2312" w:eastAsia="仿宋_GB2312"/>
          <w:sz w:val="32"/>
          <w:szCs w:val="32"/>
        </w:rPr>
        <w:t>%，比2024年年初预算数1233.33万元增加4</w:t>
      </w:r>
      <w:r>
        <w:rPr>
          <w:rFonts w:ascii="仿宋_GB2312" w:eastAsia="仿宋_GB2312"/>
          <w:sz w:val="32"/>
          <w:szCs w:val="32"/>
        </w:rPr>
        <w:t>2.99</w:t>
      </w:r>
      <w:r>
        <w:rPr>
          <w:rFonts w:hint="eastAsia" w:ascii="仿宋_GB2312" w:eastAsia="仿宋_GB2312"/>
          <w:sz w:val="32"/>
          <w:szCs w:val="32"/>
        </w:rPr>
        <w:t>万元，增长3</w:t>
      </w:r>
      <w:r>
        <w:rPr>
          <w:rFonts w:ascii="仿宋_GB2312" w:eastAsia="仿宋_GB2312"/>
          <w:sz w:val="32"/>
          <w:szCs w:val="32"/>
        </w:rPr>
        <w:t>.49</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40.17</w:t>
      </w:r>
      <w:r>
        <w:rPr>
          <w:rFonts w:hint="eastAsia" w:ascii="仿宋_GB2312" w:eastAsia="仿宋_GB2312"/>
          <w:sz w:val="32"/>
          <w:szCs w:val="32"/>
        </w:rPr>
        <w:t>万元，比2024年年初预算数82.49万元减少42.3</w:t>
      </w:r>
      <w:r>
        <w:rPr>
          <w:rFonts w:ascii="仿宋_GB2312" w:eastAsia="仿宋_GB2312"/>
          <w:sz w:val="32"/>
          <w:szCs w:val="32"/>
        </w:rPr>
        <w:t>2</w:t>
      </w:r>
      <w:r>
        <w:rPr>
          <w:rFonts w:hint="eastAsia" w:ascii="仿宋_GB2312" w:eastAsia="仿宋_GB2312"/>
          <w:sz w:val="32"/>
          <w:szCs w:val="32"/>
        </w:rPr>
        <w:t>万元，下降5</w:t>
      </w:r>
      <w:r>
        <w:rPr>
          <w:rFonts w:ascii="仿宋_GB2312" w:eastAsia="仿宋_GB2312"/>
          <w:sz w:val="32"/>
          <w:szCs w:val="32"/>
        </w:rPr>
        <w:t>1.30</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w:t>
      </w:r>
      <w:r>
        <w:rPr>
          <w:rFonts w:hint="eastAsia" w:ascii="仿宋_GB2312" w:eastAsia="仿宋_GB2312"/>
          <w:sz w:val="32"/>
          <w:szCs w:val="32"/>
        </w:rPr>
        <w:t>万元。</w:t>
      </w:r>
    </w:p>
    <w:p>
      <w:pPr>
        <w:pStyle w:val="2"/>
        <w:ind w:firstLine="642"/>
        <w:jc w:val="center"/>
      </w:pPr>
      <w:r>
        <w:drawing>
          <wp:inline distT="0" distB="0" distL="114300" distR="114300">
            <wp:extent cx="4826000" cy="2743200"/>
            <wp:effectExtent l="4445" t="4445" r="8255" b="8255"/>
            <wp:docPr id="4" name="图表 3"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sz w:val="32"/>
        </w:rPr>
      </w:pPr>
      <w:r>
        <w:rPr>
          <w:rFonts w:hint="eastAsia" w:ascii="仿宋_GB2312" w:eastAsia="仿宋_GB2312"/>
          <w:sz w:val="3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4.86</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本单位2025年无财政拨款安排的‘三公’经费预算。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color w:val="1F3864"/>
          <w:sz w:val="24"/>
        </w:rPr>
      </w:pPr>
      <w:r>
        <w:rPr>
          <w:rFonts w:hint="eastAsia" w:ascii="仿宋_GB2312" w:eastAsia="仿宋_GB2312"/>
          <w:sz w:val="32"/>
          <w:szCs w:val="32"/>
        </w:rPr>
        <w:t>2025年</w:t>
      </w:r>
      <w:r>
        <w:rPr>
          <w:rFonts w:hint="eastAsia" w:ascii="仿宋_GB2312" w:eastAsia="仿宋_GB2312"/>
          <w:color w:val="000000"/>
          <w:sz w:val="32"/>
          <w:szCs w:val="32"/>
        </w:rPr>
        <w:t>市委教育工委市教委综合事务中心</w:t>
      </w:r>
      <w:r>
        <w:rPr>
          <w:rFonts w:hint="eastAsia" w:ascii="仿宋_GB2312" w:eastAsia="仿宋_GB2312"/>
          <w:sz w:val="32"/>
          <w:szCs w:val="32"/>
        </w:rPr>
        <w:t>政府采购预算总额</w:t>
      </w:r>
      <w:r>
        <w:rPr>
          <w:rFonts w:ascii="仿宋_GB2312" w:eastAsia="仿宋_GB2312"/>
          <w:sz w:val="32"/>
          <w:szCs w:val="32"/>
        </w:rPr>
        <w:t>5.88</w:t>
      </w:r>
      <w:r>
        <w:rPr>
          <w:rFonts w:hint="eastAsia" w:ascii="仿宋_GB2312" w:eastAsia="仿宋_GB2312"/>
          <w:sz w:val="32"/>
          <w:szCs w:val="32"/>
        </w:rPr>
        <w:t>万元，其中：政府采购货物预算</w:t>
      </w:r>
      <w:r>
        <w:rPr>
          <w:rFonts w:ascii="仿宋_GB2312" w:eastAsia="仿宋_GB2312"/>
          <w:sz w:val="32"/>
          <w:szCs w:val="32"/>
        </w:rPr>
        <w:t>5.10</w:t>
      </w:r>
      <w:r>
        <w:rPr>
          <w:rFonts w:hint="eastAsia" w:ascii="仿宋_GB2312" w:eastAsia="仿宋_GB2312"/>
          <w:sz w:val="32"/>
          <w:szCs w:val="32"/>
        </w:rPr>
        <w:t>万元，政府采购工程预算</w:t>
      </w:r>
      <w:r>
        <w:rPr>
          <w:rFonts w:ascii="仿宋_GB2312" w:eastAsia="仿宋_GB2312"/>
          <w:sz w:val="32"/>
          <w:szCs w:val="32"/>
        </w:rPr>
        <w:t>0</w:t>
      </w:r>
      <w:r>
        <w:rPr>
          <w:rFonts w:hint="eastAsia" w:ascii="仿宋_GB2312" w:eastAsia="仿宋_GB2312"/>
          <w:sz w:val="32"/>
          <w:szCs w:val="32"/>
        </w:rPr>
        <w:t>万元，政府采购服务预算</w:t>
      </w:r>
      <w:r>
        <w:rPr>
          <w:rFonts w:ascii="仿宋_GB2312" w:eastAsia="仿宋_GB2312"/>
          <w:sz w:val="32"/>
          <w:szCs w:val="32"/>
        </w:rPr>
        <w:t>0.78</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本单位2025年无政府购买服务预算。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ind w:firstLine="600"/>
        <w:rPr>
          <w:rFonts w:ascii="仿宋_GB2312" w:eastAsia="仿宋_GB2312"/>
          <w:sz w:val="32"/>
          <w:szCs w:val="32"/>
        </w:rPr>
      </w:pPr>
      <w:r>
        <w:rPr>
          <w:rFonts w:hint="eastAsia" w:ascii="仿宋_GB2312" w:eastAsia="仿宋_GB2312"/>
          <w:sz w:val="32"/>
          <w:szCs w:val="32"/>
        </w:rPr>
        <w:t>2025年，市委教育工委市教委综合事务中心填报绩效目标的预算项目2个，占全部预算项目2个的100%。填报绩效目标的项目支出预算40.18万元，占本部门全部项目支出预算的100%。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ind w:firstLine="600"/>
        <w:rPr>
          <w:rFonts w:ascii="仿宋_GB2312" w:eastAsia="仿宋_GB2312"/>
          <w:sz w:val="32"/>
          <w:szCs w:val="32"/>
        </w:rPr>
      </w:pPr>
      <w:r>
        <w:rPr>
          <w:rFonts w:hint="eastAsia" w:ascii="仿宋_GB2312" w:eastAsia="仿宋_GB2312"/>
          <w:sz w:val="32"/>
          <w:szCs w:val="32"/>
        </w:rPr>
        <w:t>本单位2025年无重点行政事业性收费。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w:t>
      </w:r>
      <w:r>
        <w:rPr>
          <w:rFonts w:hint="eastAsia" w:ascii="仿宋_GB2312" w:eastAsia="仿宋_GB2312"/>
          <w:sz w:val="32"/>
          <w:szCs w:val="32"/>
        </w:rPr>
        <w:t>市委教育工委市教委综合事务中心</w:t>
      </w:r>
      <w:r>
        <w:rPr>
          <w:rFonts w:hint="eastAsia" w:ascii="仿宋_GB2312" w:eastAsia="仿宋_GB2312"/>
          <w:color w:val="000000"/>
          <w:sz w:val="32"/>
          <w:szCs w:val="32"/>
        </w:rPr>
        <w:t>共有车辆0台，共计0万元；单位价值50万元以上的设备0台（套）、共计0万元。2025年预算安排中，购置单位价值50万元以上的设备0台（套），共计0万元。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pPr>
    </w:p>
    <w:p/>
    <w:p>
      <w:pPr>
        <w:pStyle w:val="2"/>
      </w:pPr>
    </w:p>
    <w:p/>
    <w:p>
      <w:pPr>
        <w:pStyle w:val="2"/>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spacing w:line="560" w:lineRule="exact"/>
        <w:ind w:firstLine="640" w:firstLineChars="200"/>
        <w:rPr>
          <w:rFonts w:ascii="仿宋_GB2312" w:eastAsia="仿宋_GB2312" w:cs="宋体"/>
          <w:color w:val="000000"/>
          <w:kern w:val="0"/>
          <w:sz w:val="32"/>
          <w:szCs w:val="32"/>
          <w:lang w:val="zh-CN"/>
        </w:rPr>
      </w:pPr>
      <w:r>
        <w:rPr>
          <w:rFonts w:hint="eastAsia" w:ascii="仿宋_GB2312" w:eastAsia="仿宋_GB2312"/>
          <w:color w:val="000000"/>
          <w:sz w:val="32"/>
          <w:szCs w:val="32"/>
        </w:rPr>
        <w:t>附件：</w:t>
      </w:r>
      <w:r>
        <w:rPr>
          <w:rFonts w:hint="eastAsia" w:ascii="仿宋_GB2312" w:eastAsia="仿宋_GB2312"/>
          <w:sz w:val="32"/>
          <w:szCs w:val="32"/>
        </w:rPr>
        <w:t>市委教育工委市教委综合事务中心</w:t>
      </w:r>
      <w:r>
        <w:rPr>
          <w:rFonts w:hint="eastAsia" w:ascii="仿宋_GB2312" w:eastAsia="仿宋_GB2312"/>
          <w:color w:val="000000"/>
          <w:sz w:val="32"/>
          <w:szCs w:val="32"/>
        </w:rPr>
        <w:t>2025年度单位预算报表</w:t>
      </w:r>
      <w:r>
        <w:rPr>
          <w:rFonts w:hint="eastAsia" w:ascii="仿宋_GB2312" w:eastAsia="仿宋_GB2312" w:cs="宋体"/>
          <w:color w:val="000000"/>
          <w:kern w:val="0"/>
          <w:sz w:val="32"/>
          <w:szCs w:val="32"/>
          <w:lang w:val="zh-CN"/>
        </w:rPr>
        <w:t xml:space="preserve"> </w:t>
      </w:r>
    </w:p>
    <w:p>
      <w:pPr>
        <w:spacing w:line="560" w:lineRule="exact"/>
        <w:ind w:firstLine="640" w:firstLineChars="200"/>
        <w:rPr>
          <w:rFonts w:ascii="仿宋_GB2312" w:eastAsia="仿宋_GB2312"/>
          <w:color w:val="000000"/>
          <w:sz w:val="32"/>
          <w:szCs w:val="32"/>
        </w:rPr>
      </w:pPr>
    </w:p>
    <w:p>
      <w:pPr>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D50DC2-9181-446E-92B6-61CB5EA5A6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思源黑体 CN Regular"/>
    <w:panose1 w:val="00000000000000000000"/>
    <w:charset w:val="00"/>
    <w:family w:val="auto"/>
    <w:pitch w:val="default"/>
    <w:sig w:usb0="00000000" w:usb1="00000000" w:usb2="00000000" w:usb3="00000000" w:csb0="00040001" w:csb1="00000000"/>
    <w:embedRegular r:id="rId2" w:fontKey="{6CBEB191-9624-4EEF-8D2C-D9A85AF97A81}"/>
  </w:font>
  <w:font w:name="思源黑体 CN Regular">
    <w:panose1 w:val="020B0500000000000000"/>
    <w:charset w:val="86"/>
    <w:family w:val="auto"/>
    <w:pitch w:val="default"/>
    <w:sig w:usb0="20000003" w:usb1="2ADF3C10" w:usb2="00000016" w:usb3="00000000" w:csb0="60060107"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3" w:fontKey="{98BAF956-B731-464C-ABD2-3990E4FC666D}"/>
  </w:font>
  <w:font w:name="方正小标宋简体">
    <w:panose1 w:val="02000000000000000000"/>
    <w:charset w:val="86"/>
    <w:family w:val="auto"/>
    <w:pitch w:val="default"/>
    <w:sig w:usb0="00000001" w:usb1="08000000" w:usb2="00000000" w:usb3="00000000" w:csb0="00040000" w:csb1="00000000"/>
    <w:embedRegular r:id="rId4" w:fontKey="{A1668B4B-CB06-440A-A5B7-BE15F8EFD704}"/>
  </w:font>
  <w:font w:name="仿宋_GB2312">
    <w:panose1 w:val="02010609030101010101"/>
    <w:charset w:val="86"/>
    <w:family w:val="modern"/>
    <w:pitch w:val="default"/>
    <w:sig w:usb0="00000001" w:usb1="080E0000" w:usb2="00000000" w:usb3="00000000" w:csb0="00040000" w:csb1="00000000"/>
    <w:embedRegular r:id="rId5" w:fontKey="{D7FAB887-A2EA-4096-842F-FCF56F095DB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84hJ9EAAAADAQAADwAAAAAAAAABACAAAAAiAAAAZHJzL2Rv&#10;d25yZXYueG1sUEsBAhQAFAAAAAgAh07iQN4hPykIAgAAAgQAAA4AAAAAAAAAAQAgAAAAIAEAAGRy&#10;cy9lMm9Eb2MueG1sUEsFBgAAAAAGAAYAWQEAAJo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yOWY4OWIxZmJkOTIyMDIwODc2Y2FmNTYxMDcxZjkifQ=="/>
    <w:docVar w:name="KSO_WPS_MARK_KEY" w:val="6352a277-3317-4e22-9196-580765eff048"/>
  </w:docVars>
  <w:rsids>
    <w:rsidRoot w:val="00797F79"/>
    <w:rsid w:val="000751F7"/>
    <w:rsid w:val="0016788A"/>
    <w:rsid w:val="001E1AB6"/>
    <w:rsid w:val="002111F3"/>
    <w:rsid w:val="002D26CF"/>
    <w:rsid w:val="00310B24"/>
    <w:rsid w:val="003227A7"/>
    <w:rsid w:val="0032325C"/>
    <w:rsid w:val="003B4AA0"/>
    <w:rsid w:val="00421CCE"/>
    <w:rsid w:val="004230CE"/>
    <w:rsid w:val="0042334D"/>
    <w:rsid w:val="005251FD"/>
    <w:rsid w:val="00574FA6"/>
    <w:rsid w:val="00583145"/>
    <w:rsid w:val="005A0F3F"/>
    <w:rsid w:val="00624779"/>
    <w:rsid w:val="00631EBD"/>
    <w:rsid w:val="006F3CD8"/>
    <w:rsid w:val="00797F79"/>
    <w:rsid w:val="007D14D8"/>
    <w:rsid w:val="00803FDD"/>
    <w:rsid w:val="00834EDE"/>
    <w:rsid w:val="00836BC2"/>
    <w:rsid w:val="00863F17"/>
    <w:rsid w:val="008A2E8D"/>
    <w:rsid w:val="008A5575"/>
    <w:rsid w:val="00914E22"/>
    <w:rsid w:val="00925AC4"/>
    <w:rsid w:val="009342DC"/>
    <w:rsid w:val="009370DB"/>
    <w:rsid w:val="009E2BC9"/>
    <w:rsid w:val="009F505C"/>
    <w:rsid w:val="00A03108"/>
    <w:rsid w:val="00A50B4C"/>
    <w:rsid w:val="00A73954"/>
    <w:rsid w:val="00AB5FA6"/>
    <w:rsid w:val="00C14F04"/>
    <w:rsid w:val="00C22269"/>
    <w:rsid w:val="00C54E45"/>
    <w:rsid w:val="00D547AB"/>
    <w:rsid w:val="00DA7E24"/>
    <w:rsid w:val="00E3398E"/>
    <w:rsid w:val="00EA0FB8"/>
    <w:rsid w:val="00ED4B07"/>
    <w:rsid w:val="01DE318D"/>
    <w:rsid w:val="05AC22B4"/>
    <w:rsid w:val="0EFFF08B"/>
    <w:rsid w:val="0F491593"/>
    <w:rsid w:val="11F57FAA"/>
    <w:rsid w:val="13856031"/>
    <w:rsid w:val="14980837"/>
    <w:rsid w:val="1556FFE7"/>
    <w:rsid w:val="1A4C1449"/>
    <w:rsid w:val="1AED788B"/>
    <w:rsid w:val="1D7B2BEA"/>
    <w:rsid w:val="1E2F585A"/>
    <w:rsid w:val="1FB9016F"/>
    <w:rsid w:val="1FE6D21C"/>
    <w:rsid w:val="1FFC7565"/>
    <w:rsid w:val="23735A5C"/>
    <w:rsid w:val="2D8B215C"/>
    <w:rsid w:val="2F731B75"/>
    <w:rsid w:val="2F7EA178"/>
    <w:rsid w:val="2FEFCACA"/>
    <w:rsid w:val="2FF31CCC"/>
    <w:rsid w:val="33BF5DDC"/>
    <w:rsid w:val="37BFBFEE"/>
    <w:rsid w:val="37FD2E23"/>
    <w:rsid w:val="3A8F427A"/>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38D45E6"/>
    <w:rsid w:val="446B68BB"/>
    <w:rsid w:val="469C7200"/>
    <w:rsid w:val="47A95849"/>
    <w:rsid w:val="48D44964"/>
    <w:rsid w:val="4CD68066"/>
    <w:rsid w:val="4E67CE40"/>
    <w:rsid w:val="4F6D150F"/>
    <w:rsid w:val="4FEE37C7"/>
    <w:rsid w:val="4FFB9147"/>
    <w:rsid w:val="517E78AA"/>
    <w:rsid w:val="53DF3E7F"/>
    <w:rsid w:val="545DF6FA"/>
    <w:rsid w:val="553B6364"/>
    <w:rsid w:val="555A1668"/>
    <w:rsid w:val="55DE48F6"/>
    <w:rsid w:val="56A42525"/>
    <w:rsid w:val="57ADBE82"/>
    <w:rsid w:val="57E332DD"/>
    <w:rsid w:val="57E9CD93"/>
    <w:rsid w:val="57EB425A"/>
    <w:rsid w:val="59D7A30C"/>
    <w:rsid w:val="5BEE7D82"/>
    <w:rsid w:val="5BFC36A8"/>
    <w:rsid w:val="5DEC21C1"/>
    <w:rsid w:val="5F5F35ED"/>
    <w:rsid w:val="5FB4B9F0"/>
    <w:rsid w:val="5FBA6CF8"/>
    <w:rsid w:val="5FD532B6"/>
    <w:rsid w:val="5FE95128"/>
    <w:rsid w:val="5FF3352E"/>
    <w:rsid w:val="5FFFD6B5"/>
    <w:rsid w:val="633118FE"/>
    <w:rsid w:val="66C53960"/>
    <w:rsid w:val="67BF653D"/>
    <w:rsid w:val="67FBD21B"/>
    <w:rsid w:val="69AE236E"/>
    <w:rsid w:val="69CDDFC6"/>
    <w:rsid w:val="6AFBD4E9"/>
    <w:rsid w:val="6BFE087F"/>
    <w:rsid w:val="6BFF83C2"/>
    <w:rsid w:val="6C5F4E7D"/>
    <w:rsid w:val="6CAB750F"/>
    <w:rsid w:val="6D3F2E98"/>
    <w:rsid w:val="6DFE07CC"/>
    <w:rsid w:val="6DFFB2B9"/>
    <w:rsid w:val="6ECB6C3E"/>
    <w:rsid w:val="6EE113A4"/>
    <w:rsid w:val="6F3A9571"/>
    <w:rsid w:val="6FCDA027"/>
    <w:rsid w:val="6FDC8289"/>
    <w:rsid w:val="7103615C"/>
    <w:rsid w:val="71FF8133"/>
    <w:rsid w:val="729DB731"/>
    <w:rsid w:val="732F9AB6"/>
    <w:rsid w:val="73A5D6F8"/>
    <w:rsid w:val="740C1D96"/>
    <w:rsid w:val="74FD455A"/>
    <w:rsid w:val="754314D8"/>
    <w:rsid w:val="75D907AF"/>
    <w:rsid w:val="763ED7FC"/>
    <w:rsid w:val="767F6AF6"/>
    <w:rsid w:val="767FBCC8"/>
    <w:rsid w:val="76FE24ED"/>
    <w:rsid w:val="77773C62"/>
    <w:rsid w:val="777F4630"/>
    <w:rsid w:val="77DF7EB6"/>
    <w:rsid w:val="77FABEEF"/>
    <w:rsid w:val="77FC8AD8"/>
    <w:rsid w:val="77FFC18C"/>
    <w:rsid w:val="77FFEDC5"/>
    <w:rsid w:val="78662D91"/>
    <w:rsid w:val="78F52093"/>
    <w:rsid w:val="797F48DA"/>
    <w:rsid w:val="79CFCA19"/>
    <w:rsid w:val="7B2E7344"/>
    <w:rsid w:val="7B503CA9"/>
    <w:rsid w:val="7B5B4466"/>
    <w:rsid w:val="7B8DB0E0"/>
    <w:rsid w:val="7BD7C5D4"/>
    <w:rsid w:val="7BDE2E6D"/>
    <w:rsid w:val="7BFAEA32"/>
    <w:rsid w:val="7C306230"/>
    <w:rsid w:val="7C9BB5BA"/>
    <w:rsid w:val="7CA5738C"/>
    <w:rsid w:val="7CFF2D90"/>
    <w:rsid w:val="7D629DCE"/>
    <w:rsid w:val="7D7E1C9B"/>
    <w:rsid w:val="7DAF9F6F"/>
    <w:rsid w:val="7DDF7761"/>
    <w:rsid w:val="7DDFEE83"/>
    <w:rsid w:val="7DF509C8"/>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rPr>
      <w:rFonts w:eastAsia="楷体_GB2312"/>
      <w:sz w:val="32"/>
      <w:szCs w:val="20"/>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Char"/>
    <w:link w:val="4"/>
    <w:qFormat/>
    <w:uiPriority w:val="0"/>
    <w:rPr>
      <w:rFonts w:ascii="Times New Roman" w:hAnsi="Times New Roman"/>
      <w:kern w:val="2"/>
      <w:sz w:val="18"/>
      <w:szCs w:val="18"/>
    </w:rPr>
  </w:style>
  <w:style w:type="character" w:customStyle="1" w:styleId="11">
    <w:name w:val="页脚 Char"/>
    <w:link w:val="5"/>
    <w:qFormat/>
    <w:uiPriority w:val="99"/>
    <w:rPr>
      <w:rFonts w:ascii="Times New Roman" w:hAnsi="Times New Roman"/>
      <w:kern w:val="2"/>
      <w:sz w:val="18"/>
    </w:rPr>
  </w:style>
  <w:style w:type="character" w:customStyle="1" w:styleId="12">
    <w:name w:val="页眉 Char"/>
    <w:link w:val="6"/>
    <w:qFormat/>
    <w:uiPriority w:val="0"/>
    <w:rPr>
      <w:rFonts w:ascii="Times New Roman" w:hAnsi="Times New Roman"/>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39044;&#31639;&#22635;&#25253;&#12289;&#26680;&#20943;&#25991;\&#39044;&#31639;--2025&#24180;\&#39044;&#31639;&#20844;&#24320;\&#21271;&#20140;&#24066;&#25945;&#32946;&#22996;&#21592;&#20250;&#20851;&#20110;&#20570;&#22909;2025&#24180;&#25152;&#23646;&#39044;&#31639;&#21333;&#20301;&#39044;&#31639;&#20844;&#24320;&#30456;&#20851;&#24037;&#20316;&#30340;&#36890;&#30693;--&#19978;&#25253;\021057&#24066;&#22996;&#25945;&#32946;&#24037;&#22996;&#24066;&#25945;&#22996;&#32508;&#21512;&#20107;&#21153;&#20013;&#24515;%202025&#24180;&#24230;&#39044;&#31639;&#25209;&#22797;&#26126;&#32454;&#34920;-021057.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65000"/>
                    <a:lumOff val="35000"/>
                  </a:schemeClr>
                </a:solidFill>
                <a:latin typeface="+mn-lt"/>
                <a:ea typeface="+mn-ea"/>
                <a:cs typeface="+mn-cs"/>
              </a:defRPr>
            </a:pPr>
            <a:r>
              <a:rPr lang="zh-CN" altLang="en-US"/>
              <a:t>收入预算</a:t>
            </a:r>
            <a:endParaRPr lang="zh-CN"/>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Pt>
            <c:idx val="2"/>
            <c:bubble3D val="0"/>
            <c:spPr>
              <a:solidFill>
                <a:schemeClr val="accent3"/>
              </a:solidFill>
              <a:ln>
                <a:noFill/>
              </a:ln>
              <a:effectLst>
                <a:outerShdw blurRad="317500" algn="ctr" rotWithShape="0">
                  <a:prstClr val="black">
                    <a:alpha val="25000"/>
                  </a:prstClr>
                </a:outerShdw>
              </a:effectLst>
            </c:spPr>
          </c:dPt>
          <c:dLbls>
            <c:dLbl>
              <c:idx val="1"/>
              <c:layout>
                <c:manualLayout>
                  <c:x val="-0.0169460905180899"/>
                  <c:y val="0.12112861415863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548617510974615"/>
                  <c:y val="0.15508131362740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'03支出总表'!$F$56:$F$58</c:f>
              <c:strCache>
                <c:ptCount val="3"/>
                <c:pt idx="0">
                  <c:v>一般公共预算拨款收入</c:v>
                </c:pt>
                <c:pt idx="1">
                  <c:v>其他收入</c:v>
                </c:pt>
                <c:pt idx="2">
                  <c:v>上年结转结余</c:v>
                </c:pt>
              </c:strCache>
            </c:strRef>
          </c:cat>
          <c:val>
            <c:numRef>
              <c:f>'03支出总表'!$G$56:$G$58</c:f>
              <c:numCache>
                <c:formatCode>General</c:formatCode>
                <c:ptCount val="3"/>
                <c:pt idx="0">
                  <c:v>1294.23</c:v>
                </c:pt>
                <c:pt idx="1">
                  <c:v>0.1</c:v>
                </c:pt>
                <c:pt idx="2">
                  <c:v>27.02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alpha val="78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lang="zh-CN" altLang="en-US"/>
              <a:t>基本支出和项目支出情况</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0"/>
            <c:showCatName val="0"/>
            <c:showSerName val="0"/>
            <c:showPercent val="1"/>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[工作簿1]Sheet1!$C$2:$C$3</c:f>
              <c:strCache>
                <c:ptCount val="2"/>
                <c:pt idx="0">
                  <c:v>基本支出</c:v>
                </c:pt>
                <c:pt idx="1">
                  <c:v>项目支出</c:v>
                </c:pt>
              </c:strCache>
            </c:strRef>
          </c:cat>
          <c:val>
            <c:numRef>
              <c:f>[工作簿1]Sheet1!$D$2:$D$3</c:f>
              <c:numCache>
                <c:formatCode>General</c:formatCode>
                <c:ptCount val="2"/>
                <c:pt idx="0">
                  <c:v>1276.32</c:v>
                </c:pt>
                <c:pt idx="1">
                  <c:v>40.18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8</Pages>
  <Words>1695</Words>
  <Characters>1905</Characters>
  <Lines>14</Lines>
  <Paragraphs>4</Paragraphs>
  <TotalTime>0</TotalTime>
  <ScaleCrop>false</ScaleCrop>
  <LinksUpToDate>false</LinksUpToDate>
  <CharactersWithSpaces>1931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2025-02-18T06:23:00Z</dcterms:created>
  <dc:creator>马荣丽</dc:creator>
  <cp:lastModifiedBy>HP</cp:lastModifiedBy>
  <cp:lastPrinted>2025-02-06T09:19:00Z</cp:lastPrinted>
  <dcterms:modified xsi:type="dcterms:W3CDTF">2025-02-28T06:12:34Z</dcterms:modified>
  <dc:title>处领导：</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AA4743D8051245B2B8D60C6BB222CB3B_13</vt:lpwstr>
  </property>
  <property fmtid="{D5CDD505-2E9C-101B-9397-08002B2CF9AE}" pid="4" name="KSOTemplateDocerSaveRecord">
    <vt:lpwstr>eyJoZGlkIjoiNWIwN2JhMTUyZDhjOWJiNzMzOWVkYTJlY2MyNDVhOGMiLCJ1c2VySWQiOiIzNzg2MjU1MDAifQ==</vt:lpwstr>
  </property>
</Properties>
</file>