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exact"/>
        <w:rPr>
          <w:rFonts w:hint="eastAsia" w:ascii="Cambria" w:eastAsia="黑体"/>
          <w:color w:val="auto"/>
          <w:sz w:val="36"/>
          <w:u w:val="none"/>
        </w:rPr>
      </w:pPr>
    </w:p>
    <w:p>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val="en-US" w:eastAsia="zh-CN"/>
        </w:rPr>
        <w:t>首都师范大学</w:t>
      </w:r>
      <w:r>
        <w:rPr>
          <w:rFonts w:hint="eastAsia" w:ascii="方正小标宋简体" w:eastAsia="方正小标宋简体"/>
          <w:color w:val="000000"/>
          <w:sz w:val="44"/>
          <w:szCs w:val="44"/>
          <w:u w:val="none"/>
          <w:lang w:eastAsia="zh-CN"/>
        </w:rPr>
        <w:t>2025年度单位</w:t>
      </w:r>
      <w:r>
        <w:rPr>
          <w:rFonts w:hint="eastAsia" w:ascii="方正小标宋简体" w:eastAsia="方正小标宋简体"/>
          <w:color w:val="000000"/>
          <w:sz w:val="44"/>
          <w:szCs w:val="44"/>
          <w:u w:val="none"/>
        </w:rPr>
        <w:t>预算信息公开</w:t>
      </w:r>
    </w:p>
    <w:p>
      <w:pPr>
        <w:spacing w:line="560" w:lineRule="exact"/>
        <w:jc w:val="center"/>
        <w:rPr>
          <w:rFonts w:hint="eastAsia" w:ascii="方正小标宋简体" w:eastAsia="方正小标宋简体"/>
          <w:color w:val="000000"/>
          <w:sz w:val="36"/>
          <w:szCs w:val="36"/>
        </w:rPr>
      </w:pPr>
    </w:p>
    <w:p>
      <w:pPr>
        <w:spacing w:line="240" w:lineRule="exact"/>
        <w:jc w:val="center"/>
        <w:rPr>
          <w:rFonts w:hint="eastAsia" w:ascii="方正小标宋简体" w:eastAsia="方正小标宋简体"/>
          <w:color w:val="000000"/>
          <w:sz w:val="32"/>
          <w:szCs w:val="32"/>
          <w:u w:val="none"/>
        </w:rPr>
      </w:pP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pPr>
        <w:pStyle w:val="2"/>
        <w:rPr>
          <w:rFonts w:hint="default" w:ascii="Cambria" w:eastAsia="黑体"/>
          <w:color w:val="000000"/>
          <w:sz w:val="36"/>
          <w:szCs w:val="32"/>
        </w:rPr>
      </w:pPr>
    </w:p>
    <w:p>
      <w:pPr>
        <w:spacing w:line="240" w:lineRule="exact"/>
        <w:jc w:val="center"/>
        <w:rPr>
          <w:rFonts w:hint="eastAsia" w:ascii="方正小标宋简体" w:eastAsia="方正小标宋简体"/>
          <w:color w:val="000000"/>
          <w:sz w:val="32"/>
          <w:szCs w:val="32"/>
          <w:u w:val="none"/>
        </w:rPr>
      </w:pP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度单位预算情况说明</w:t>
      </w:r>
    </w:p>
    <w:p>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度单位预算报表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十二、政府购买服务预算财政拨款明细表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pPr>
        <w:spacing w:line="560" w:lineRule="exact"/>
        <w:jc w:val="center"/>
        <w:rPr>
          <w:rFonts w:hint="eastAsia" w:ascii="方正小标宋简体" w:eastAsia="方正小标宋简体"/>
          <w:color w:val="000000"/>
          <w:sz w:val="32"/>
          <w:szCs w:val="32"/>
          <w:u w:val="none"/>
        </w:rPr>
      </w:pPr>
      <w:r>
        <w:rPr>
          <w:rFonts w:hint="default" w:ascii="Cambria" w:eastAsia="黑体" w:cs="Times New Roman"/>
          <w:color w:val="000000"/>
          <w:kern w:val="0"/>
          <w:sz w:val="36"/>
          <w:szCs w:val="32"/>
          <w:lang w:val="en-US"/>
        </w:rPr>
        <w:br w:type="page"/>
      </w: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单位预算情况说明</w:t>
      </w: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首都师范大学为</w:t>
      </w:r>
      <w:r>
        <w:rPr>
          <w:rFonts w:hint="eastAsia" w:ascii="仿宋_GB2312" w:eastAsia="仿宋_GB2312"/>
          <w:color w:val="auto"/>
          <w:sz w:val="32"/>
          <w:szCs w:val="32"/>
          <w:u w:val="none"/>
        </w:rPr>
        <w:t>公益二类</w:t>
      </w:r>
      <w:r>
        <w:rPr>
          <w:rFonts w:hint="eastAsia" w:ascii="仿宋_GB2312" w:eastAsia="仿宋_GB2312"/>
          <w:color w:val="auto"/>
          <w:sz w:val="32"/>
          <w:szCs w:val="32"/>
        </w:rPr>
        <w:t>事业单位，</w:t>
      </w:r>
      <w:r>
        <w:rPr>
          <w:rFonts w:hint="eastAsia" w:ascii="仿宋_GB2312" w:eastAsia="仿宋_GB2312"/>
          <w:color w:val="auto"/>
          <w:sz w:val="32"/>
          <w:szCs w:val="32"/>
          <w:highlight w:val="none"/>
        </w:rPr>
        <w:t>主要职责为培养高等学历师资人才，促进教育事业发展。涉及中文、历史、政治、教育、音乐、美术、外语、数学、物理、化学、生物、地理、计算机、初等教育等学科专业，开展大专、本科、研究生班、硕士研究生、博士研究生学历教育，博士后培养，相关科学研究，继续教育，专业培训和学术交流。</w:t>
      </w:r>
    </w:p>
    <w:p>
      <w:pPr>
        <w:spacing w:line="560" w:lineRule="exact"/>
        <w:ind w:firstLine="640" w:firstLineChars="200"/>
        <w:rPr>
          <w:rFonts w:hint="eastAsia" w:ascii="仿宋_GB2312" w:eastAsia="仿宋_GB2312"/>
          <w:color w:val="1F3864"/>
          <w:sz w:val="24"/>
        </w:rPr>
      </w:pPr>
      <w:r>
        <w:rPr>
          <w:rFonts w:hint="eastAsia" w:ascii="楷体_GB2312" w:eastAsia="楷体_GB2312"/>
          <w:color w:val="000000"/>
          <w:sz w:val="32"/>
          <w:szCs w:val="32"/>
          <w:u w:val="none"/>
        </w:rPr>
        <w:t>（二）机构设置情况</w:t>
      </w:r>
    </w:p>
    <w:p>
      <w:pPr>
        <w:ind w:firstLine="640" w:firstLineChars="200"/>
        <w:rPr>
          <w:rFonts w:hint="eastAsia" w:ascii="仿宋_GB2312" w:eastAsia="仿宋_GB2312"/>
          <w:color w:val="1F3864"/>
          <w:sz w:val="24"/>
          <w:lang w:eastAsia="zh-CN"/>
        </w:rPr>
      </w:pPr>
      <w:r>
        <w:rPr>
          <w:rFonts w:hint="eastAsia" w:ascii="仿宋_GB2312" w:eastAsia="仿宋_GB2312"/>
          <w:color w:val="auto"/>
          <w:sz w:val="32"/>
          <w:szCs w:val="32"/>
        </w:rPr>
        <w:t>首都师范大学内设</w:t>
      </w:r>
      <w:r>
        <w:rPr>
          <w:rFonts w:hint="eastAsia" w:ascii="仿宋_GB2312" w:eastAsia="仿宋_GB2312"/>
          <w:color w:val="auto"/>
          <w:sz w:val="32"/>
          <w:szCs w:val="32"/>
          <w:lang w:val="en-US" w:eastAsia="zh-CN"/>
        </w:rPr>
        <w:t>77</w:t>
      </w:r>
      <w:r>
        <w:rPr>
          <w:rFonts w:hint="eastAsia" w:ascii="仿宋_GB2312" w:eastAsia="仿宋_GB2312"/>
          <w:color w:val="auto"/>
          <w:sz w:val="32"/>
          <w:szCs w:val="32"/>
        </w:rPr>
        <w:t>个机构，分别为：学校办公室、组织部、宣传部、统战部、纪委监察室、党委巡察办公室、教师工作部、学生处、离退休干部处、审计处、教务处、招生就业处、国有资产管理处（含采购中心）、科技处、社科处、发展规划办公室、研究生院、人事处、国际合作交流处（港澳台事务办公室）、财务处、保卫处、基建处、良乡校区规划建设办公室、校办产业管理办公室、团委、工会、校友工作办公室、对外合作办公室、机关党委、综合档案馆、社区居委会、妇女联合会、文学院、历史学院、政法学院、教育学院、教师教育学院、心理学院、外国语学院、马克思主义学院、管理学院、音乐学院、美术学院、数学科学学院、物理系、化学系、生命科学学院、资源环境与旅游学院、信息工程学院、初等教育学院、学前教育学院、良乡校区基础学部、继续教育学院、京疆学院、国际文化学院、中国书法文化研究院、燕都学院、艺术与美育研究院、国别区域研究院、交叉科学研究院、大学英语教研部、体育教学研究部、教育学部、艺术学部、人文社会科学学部、人工智能教育研究院、人文社会科学创新研究院、图书馆、学报编辑部、数字校园建设中心、后勤保障部、校医院、语言文字测试中心、技术转移中心、附属幼儿园、北京国家应用数学中心、出版社</w:t>
      </w:r>
      <w:r>
        <w:rPr>
          <w:rFonts w:hint="eastAsia" w:ascii="仿宋_GB2312" w:eastAsia="仿宋_GB2312"/>
          <w:color w:val="auto"/>
          <w:sz w:val="32"/>
          <w:szCs w:val="32"/>
          <w:lang w:eastAsia="zh-CN"/>
        </w:rPr>
        <w:t>。</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auto"/>
          <w:sz w:val="32"/>
          <w:szCs w:val="32"/>
        </w:rPr>
        <w:t>首都师范大学</w:t>
      </w:r>
      <w:r>
        <w:rPr>
          <w:rFonts w:hint="eastAsia" w:ascii="仿宋_GB2312" w:eastAsia="仿宋_GB2312"/>
          <w:color w:val="000000"/>
          <w:sz w:val="32"/>
          <w:szCs w:val="32"/>
          <w:u w:val="none"/>
        </w:rPr>
        <w:t>行政编制</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人，实有人数</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人；事业编制2795人，实有人数2424人；聘用人员（其他聘用人员--临时工）0人。离退休人员2610人，其中：离休50人，退休2560人。</w:t>
      </w:r>
    </w:p>
    <w:p>
      <w:pPr>
        <w:spacing w:line="560" w:lineRule="exact"/>
        <w:ind w:firstLine="640" w:firstLineChars="200"/>
        <w:rPr>
          <w:rFonts w:hint="eastAsia" w:ascii="仿宋_GB2312" w:eastAsia="仿宋_GB2312"/>
          <w:color w:val="000000"/>
          <w:sz w:val="32"/>
          <w:szCs w:val="32"/>
          <w:u w:val="none"/>
          <w:lang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s="Droid Sans"/>
          <w:color w:val="auto"/>
          <w:sz w:val="32"/>
          <w:szCs w:val="32"/>
          <w:u w:val="none"/>
          <w:lang w:val="en-US" w:eastAsia="zh-CN"/>
        </w:rPr>
        <w:t>2025年度收入预算</w:t>
      </w:r>
      <w:r>
        <w:rPr>
          <w:rFonts w:hint="eastAsia" w:ascii="仿宋_GB2312" w:eastAsia="仿宋_GB2312" w:cs="Droid Sans"/>
          <w:color w:val="auto"/>
          <w:sz w:val="32"/>
          <w:szCs w:val="32"/>
          <w:u w:val="none"/>
        </w:rPr>
        <w:t>297092.95万元</w:t>
      </w:r>
      <w:r>
        <w:rPr>
          <w:rFonts w:hint="eastAsia" w:ascii="仿宋_GB2312" w:eastAsia="仿宋_GB2312" w:cs="Droid Sans"/>
          <w:color w:val="auto"/>
          <w:sz w:val="32"/>
          <w:szCs w:val="32"/>
          <w:u w:val="none"/>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rPr>
        <w:t>231649.53万元增加</w:t>
      </w:r>
      <w:r>
        <w:rPr>
          <w:rFonts w:hint="eastAsia" w:ascii="仿宋_GB2312" w:eastAsia="仿宋_GB2312"/>
          <w:color w:val="auto"/>
          <w:sz w:val="32"/>
          <w:szCs w:val="32"/>
          <w:u w:val="none"/>
          <w:lang w:eastAsia="zh-CN"/>
        </w:rPr>
        <w:t>65443.42</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val="en-US" w:eastAsia="zh-CN"/>
        </w:rPr>
        <w:t>28.25</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主要原因一是根据学校事业发展规划，事业收入有所增加；二</w:t>
      </w:r>
      <w:r>
        <w:rPr>
          <w:rFonts w:hint="eastAsia" w:ascii="仿宋_GB2312" w:eastAsia="仿宋_GB2312"/>
          <w:color w:val="auto"/>
          <w:sz w:val="32"/>
          <w:szCs w:val="32"/>
          <w:highlight w:val="none"/>
          <w:u w:val="none"/>
          <w:lang w:eastAsia="zh-CN"/>
        </w:rPr>
        <w:t>是进一步加强非财政拨款资金管理，按照全口径预算管理要求，将全部非财政拨款结转结余资金纳入年度预算管理。</w:t>
      </w:r>
    </w:p>
    <w:p>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w:t>
      </w:r>
      <w:r>
        <w:rPr>
          <w:rFonts w:hint="eastAsia" w:ascii="楷体_GB2312" w:eastAsia="楷体_GB2312" w:cs="Droid Sans"/>
          <w:color w:val="auto"/>
          <w:sz w:val="32"/>
          <w:szCs w:val="32"/>
          <w:u w:val="none"/>
          <w:lang w:eastAsia="zh-CN"/>
        </w:rPr>
        <w:t>163104.73</w:t>
      </w:r>
      <w:r>
        <w:rPr>
          <w:rFonts w:hint="eastAsia" w:ascii="楷体_GB2312" w:eastAsia="楷体_GB2312"/>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w:t>
      </w:r>
      <w:r>
        <w:rPr>
          <w:rFonts w:hint="eastAsia" w:ascii="仿宋_GB2312" w:eastAsia="仿宋_GB2312" w:cs="Droid Sans"/>
          <w:color w:val="auto"/>
          <w:sz w:val="32"/>
          <w:szCs w:val="32"/>
          <w:u w:val="none"/>
        </w:rPr>
        <w:t>163104.73万元。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收入67431.55万元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w:t>
      </w:r>
      <w:r>
        <w:rPr>
          <w:rFonts w:hint="eastAsia" w:ascii="仿宋_GB2312" w:eastAsia="仿宋_GB2312" w:cs="Droid Sans"/>
          <w:color w:val="auto"/>
          <w:sz w:val="32"/>
          <w:szCs w:val="32"/>
          <w:u w:val="none"/>
        </w:rPr>
        <w:t>16531.55万元。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w:t>
      </w:r>
      <w:r>
        <w:rPr>
          <w:rFonts w:hint="eastAsia" w:ascii="仿宋_GB2312" w:eastAsia="仿宋_GB2312" w:cs="Droid Sans"/>
          <w:color w:val="auto"/>
          <w:sz w:val="32"/>
          <w:szCs w:val="32"/>
          <w:u w:val="none"/>
        </w:rPr>
        <w:t>38030.00万元。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w:t>
      </w:r>
      <w:r>
        <w:rPr>
          <w:rFonts w:hint="eastAsia" w:ascii="仿宋_GB2312" w:eastAsia="仿宋_GB2312" w:cs="Droid Sans"/>
          <w:color w:val="auto"/>
          <w:sz w:val="32"/>
          <w:szCs w:val="32"/>
          <w:u w:val="none"/>
        </w:rPr>
        <w:t>12870.00万元。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eastAsia="zh-CN"/>
        </w:rPr>
        <w:t>66556.67 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w:t>
      </w:r>
      <w:r>
        <w:rPr>
          <w:rFonts w:hint="eastAsia" w:ascii="仿宋_GB2312" w:eastAsia="仿宋_GB2312" w:cs="Droid Sans"/>
          <w:color w:val="auto"/>
          <w:sz w:val="32"/>
          <w:szCs w:val="32"/>
          <w:u w:val="none"/>
        </w:rPr>
        <w:t>66556.67 万元。</w:t>
      </w:r>
    </w:p>
    <w:p>
      <w:pPr>
        <w:pStyle w:val="2"/>
        <w:jc w:val="center"/>
        <w:rPr>
          <w:u w:val="none"/>
        </w:rPr>
      </w:pPr>
      <w:r>
        <w:drawing>
          <wp:inline distT="0" distB="0" distL="114300" distR="114300">
            <wp:extent cx="4819650" cy="2743200"/>
            <wp:effectExtent l="4445" t="4445" r="14605" b="14605"/>
            <wp:docPr id="1" name="图表 1" descr="7b0a202020202263686172745265734964223a20223230343736383835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2"/>
        <w:ind w:firstLine="0"/>
        <w:jc w:val="center"/>
        <w:rPr>
          <w:rFonts w:hint="eastAsia" w:ascii="仿宋_GB2312" w:eastAsia="仿宋_GB2312"/>
          <w:b w:val="0"/>
          <w:bCs w:val="0"/>
          <w:color w:val="auto"/>
          <w:sz w:val="32"/>
          <w:szCs w:val="32"/>
          <w:u w:val="none"/>
          <w:lang w:val="en-US" w:eastAsia="zh-CN"/>
        </w:rPr>
      </w:pPr>
      <w:r>
        <w:rPr>
          <w:rFonts w:hint="eastAsia" w:ascii="仿宋_GB2312" w:eastAsia="仿宋_GB2312"/>
          <w:color w:val="auto"/>
          <w:sz w:val="32"/>
          <w:szCs w:val="32"/>
          <w:u w:val="none"/>
          <w:lang w:val="en-US" w:eastAsia="zh-CN"/>
        </w:rPr>
        <w:t>图1：收入预算</w:t>
      </w:r>
    </w:p>
    <w:p>
      <w:pPr>
        <w:spacing w:line="560" w:lineRule="exact"/>
        <w:ind w:firstLine="640" w:firstLineChars="200"/>
        <w:rPr>
          <w:rFonts w:hint="eastAsia" w:ascii="仿宋_GB2312" w:eastAsia="仿宋_GB2312"/>
          <w:color w:val="000000"/>
          <w:sz w:val="32"/>
          <w:szCs w:val="32"/>
          <w:u w:val="none"/>
          <w:lang w:eastAsia="zh-CN"/>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pPr>
        <w:spacing w:line="560" w:lineRule="exact"/>
        <w:ind w:firstLine="640" w:firstLineChars="200"/>
        <w:rPr>
          <w:rFonts w:hint="eastAsia" w:ascii="仿宋_GB2312" w:eastAsia="仿宋_GB2312"/>
          <w:color w:val="auto"/>
          <w:sz w:val="32"/>
          <w:szCs w:val="32"/>
          <w:highlight w:val="none"/>
          <w:u w:val="none"/>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支出预算297092.95万元，比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rPr>
        <w:t>231649.53万元增加</w:t>
      </w:r>
      <w:r>
        <w:rPr>
          <w:rFonts w:hint="eastAsia" w:ascii="仿宋_GB2312" w:eastAsia="仿宋_GB2312"/>
          <w:color w:val="auto"/>
          <w:sz w:val="32"/>
          <w:szCs w:val="32"/>
          <w:u w:val="none"/>
          <w:lang w:eastAsia="zh-CN"/>
        </w:rPr>
        <w:t>65443.42</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val="en-US" w:eastAsia="zh-CN"/>
        </w:rPr>
        <w:t>28.25</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w:t>
      </w:r>
      <w:r>
        <w:rPr>
          <w:rFonts w:hint="eastAsia" w:ascii="仿宋_GB2312" w:eastAsia="仿宋_GB2312"/>
          <w:color w:val="auto"/>
          <w:sz w:val="32"/>
          <w:szCs w:val="32"/>
          <w:highlight w:val="none"/>
          <w:u w:val="none"/>
          <w:lang w:eastAsia="zh-CN"/>
        </w:rPr>
        <w:t>为进一步加强非财政拨款资金管理，按照全口径预算管理要求，将全部非财政拨款结转结余资金纳入年度预算</w:t>
      </w:r>
      <w:r>
        <w:rPr>
          <w:rFonts w:hint="eastAsia" w:ascii="仿宋_GB2312" w:eastAsia="仿宋_GB2312"/>
          <w:color w:val="auto"/>
          <w:sz w:val="32"/>
          <w:szCs w:val="32"/>
          <w:highlight w:val="none"/>
          <w:u w:val="none"/>
          <w:lang w:val="en-US" w:eastAsia="zh-CN"/>
        </w:rPr>
        <w:t>管理</w:t>
      </w:r>
      <w:r>
        <w:rPr>
          <w:rFonts w:hint="eastAsia" w:ascii="仿宋_GB2312" w:eastAsia="仿宋_GB2312"/>
          <w:color w:val="auto"/>
          <w:sz w:val="32"/>
          <w:szCs w:val="32"/>
          <w:highlight w:val="none"/>
          <w:u w:val="none"/>
          <w:lang w:eastAsia="zh-CN"/>
        </w:rPr>
        <w:t>。</w:t>
      </w:r>
    </w:p>
    <w:p>
      <w:pPr>
        <w:spacing w:line="560" w:lineRule="exact"/>
        <w:ind w:firstLine="640"/>
        <w:rPr>
          <w:rFonts w:hint="eastAsia" w:ascii="仿宋_GB2312" w:eastAsia="仿宋_GB2312"/>
          <w:sz w:val="32"/>
          <w:szCs w:val="32"/>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支出预算236947.97万元，占</w:t>
      </w:r>
      <w:r>
        <w:rPr>
          <w:rFonts w:hint="eastAsia" w:ascii="仿宋_GB2312" w:eastAsia="仿宋_GB2312"/>
          <w:color w:val="auto"/>
          <w:sz w:val="32"/>
          <w:szCs w:val="32"/>
          <w:highlight w:val="none"/>
          <w:u w:val="none"/>
          <w:lang w:eastAsia="zh-CN"/>
        </w:rPr>
        <w:t>本年</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val="en-US" w:eastAsia="zh-CN"/>
        </w:rPr>
        <w:t>88.71</w:t>
      </w:r>
      <w:r>
        <w:rPr>
          <w:rFonts w:hint="eastAsia" w:ascii="仿宋_GB2312" w:eastAsia="仿宋_GB2312"/>
          <w:color w:val="auto"/>
          <w:sz w:val="32"/>
          <w:szCs w:val="32"/>
          <w:highlight w:val="none"/>
          <w:u w:val="none"/>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rPr>
        <w:t>196619.99万元增加40327.98万元，增长</w:t>
      </w:r>
      <w:r>
        <w:rPr>
          <w:rFonts w:hint="eastAsia" w:ascii="仿宋_GB2312" w:eastAsia="仿宋_GB2312"/>
          <w:color w:val="auto"/>
          <w:sz w:val="32"/>
          <w:szCs w:val="32"/>
          <w:u w:val="none"/>
          <w:lang w:val="en-US" w:eastAsia="zh-CN"/>
        </w:rPr>
        <w:t>20.51</w:t>
      </w:r>
      <w:r>
        <w:rPr>
          <w:rFonts w:hint="eastAsia" w:ascii="仿宋_GB2312" w:eastAsia="仿宋_GB2312"/>
          <w:color w:val="auto"/>
          <w:sz w:val="32"/>
          <w:szCs w:val="32"/>
          <w:u w:val="none"/>
        </w:rPr>
        <w:t>%。</w:t>
      </w:r>
    </w:p>
    <w:p>
      <w:pPr>
        <w:spacing w:line="560" w:lineRule="exact"/>
        <w:ind w:firstLine="640"/>
        <w:rPr>
          <w:rFonts w:hint="eastAsia" w:ascii="仿宋_GB2312" w:eastAsia="仿宋_GB2312"/>
          <w:color w:val="auto"/>
          <w:sz w:val="32"/>
          <w:szCs w:val="32"/>
          <w:highlight w:val="none"/>
          <w:u w:val="none"/>
        </w:rPr>
      </w:pPr>
      <w:r>
        <w:rPr>
          <w:rFonts w:hint="eastAsia" w:ascii="楷体_GB2312" w:hAnsi="楷体_GB2312" w:eastAsia="楷体_GB2312" w:cs="楷体_GB2312"/>
          <w:color w:val="auto"/>
          <w:sz w:val="32"/>
          <w:szCs w:val="32"/>
          <w:u w:val="none"/>
          <w:lang w:eastAsia="zh-CN"/>
        </w:rPr>
        <w:t>（二）项目</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rPr>
        <w:t>项目支出预算30144.98万元，比</w:t>
      </w:r>
      <w:r>
        <w:rPr>
          <w:rFonts w:hint="eastAsia" w:ascii="仿宋_GB2312" w:eastAsia="仿宋_GB2312"/>
          <w:color w:val="auto"/>
          <w:sz w:val="32"/>
          <w:szCs w:val="32"/>
          <w:highlight w:val="none"/>
          <w:u w:val="none"/>
          <w:lang w:eastAsia="zh-CN"/>
        </w:rPr>
        <w:t>2024年年初预算数</w:t>
      </w:r>
      <w:r>
        <w:rPr>
          <w:rFonts w:hint="eastAsia" w:ascii="仿宋_GB2312" w:eastAsia="仿宋_GB2312"/>
          <w:color w:val="auto"/>
          <w:sz w:val="32"/>
          <w:szCs w:val="32"/>
          <w:highlight w:val="none"/>
          <w:u w:val="none"/>
        </w:rPr>
        <w:t>35029.5</w:t>
      </w:r>
      <w:r>
        <w:rPr>
          <w:rFonts w:hint="eastAsia" w:ascii="仿宋_GB2312" w:eastAsia="仿宋_GB2312"/>
          <w:color w:val="auto"/>
          <w:sz w:val="32"/>
          <w:szCs w:val="32"/>
          <w:highlight w:val="none"/>
          <w:u w:val="none"/>
          <w:lang w:val="en-US" w:eastAsia="zh-CN"/>
        </w:rPr>
        <w:t>4</w:t>
      </w:r>
      <w:r>
        <w:rPr>
          <w:rFonts w:hint="eastAsia" w:ascii="仿宋_GB2312" w:eastAsia="仿宋_GB2312"/>
          <w:color w:val="auto"/>
          <w:sz w:val="32"/>
          <w:szCs w:val="32"/>
          <w:highlight w:val="none"/>
          <w:u w:val="none"/>
        </w:rPr>
        <w:t>万元减少4884.5</w:t>
      </w:r>
      <w:r>
        <w:rPr>
          <w:rFonts w:hint="eastAsia" w:ascii="仿宋_GB2312" w:eastAsia="仿宋_GB2312"/>
          <w:color w:val="auto"/>
          <w:sz w:val="32"/>
          <w:szCs w:val="32"/>
          <w:highlight w:val="none"/>
          <w:u w:val="none"/>
          <w:lang w:val="en-US" w:eastAsia="zh-CN"/>
        </w:rPr>
        <w:t>6</w:t>
      </w:r>
      <w:r>
        <w:rPr>
          <w:rFonts w:hint="eastAsia" w:ascii="仿宋_GB2312" w:eastAsia="仿宋_GB2312"/>
          <w:color w:val="auto"/>
          <w:sz w:val="32"/>
          <w:szCs w:val="32"/>
          <w:highlight w:val="none"/>
          <w:u w:val="none"/>
        </w:rPr>
        <w:t>万元，下降</w:t>
      </w:r>
      <w:r>
        <w:rPr>
          <w:rFonts w:hint="eastAsia" w:ascii="仿宋_GB2312" w:eastAsia="仿宋_GB2312"/>
          <w:color w:val="auto"/>
          <w:sz w:val="32"/>
          <w:szCs w:val="32"/>
          <w:highlight w:val="none"/>
          <w:u w:val="none"/>
          <w:lang w:val="en-US" w:eastAsia="zh-CN"/>
        </w:rPr>
        <w:t>13.94</w:t>
      </w:r>
      <w:r>
        <w:rPr>
          <w:rFonts w:hint="eastAsia" w:ascii="仿宋_GB2312" w:eastAsia="仿宋_GB2312"/>
          <w:color w:val="auto"/>
          <w:sz w:val="32"/>
          <w:szCs w:val="32"/>
          <w:highlight w:val="none"/>
          <w:u w:val="none"/>
        </w:rPr>
        <w:t>%。其中：</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pStyle w:val="2"/>
        <w:ind w:firstLine="642"/>
        <w:jc w:val="both"/>
        <w:rPr>
          <w:color w:val="auto"/>
          <w:u w:val="none"/>
        </w:rPr>
      </w:pPr>
      <w:r>
        <w:drawing>
          <wp:inline distT="0" distB="0" distL="114300" distR="114300">
            <wp:extent cx="4838700" cy="2952750"/>
            <wp:effectExtent l="4445" t="4445" r="14605" b="14605"/>
            <wp:docPr id="2" name="图表 1"/>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2"/>
        <w:ind w:firstLine="642"/>
        <w:jc w:val="center"/>
        <w:rPr>
          <w:rFonts w:hint="default" w:eastAsia="黑体"/>
          <w:color w:val="auto"/>
          <w:sz w:val="32"/>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pPr>
        <w:numPr>
          <w:ilvl w:val="0"/>
          <w:numId w:val="1"/>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年终结转结余资金30000.00万元</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val="en-US" w:eastAsia="zh-CN"/>
        </w:rPr>
        <w:t>首都师范大学</w:t>
      </w:r>
      <w:r>
        <w:rPr>
          <w:rFonts w:hint="eastAsia" w:ascii="仿宋_GB2312" w:eastAsia="仿宋_GB2312"/>
          <w:color w:val="auto"/>
          <w:sz w:val="32"/>
          <w:szCs w:val="32"/>
          <w:u w:val="none"/>
        </w:rPr>
        <w:t>因公出国（境）费用、公务接待费、公务用车购置和运行维护费开支单位包括</w:t>
      </w:r>
      <w:r>
        <w:rPr>
          <w:rFonts w:hint="eastAsia" w:ascii="仿宋_GB2312" w:eastAsia="仿宋_GB2312"/>
          <w:color w:val="auto"/>
          <w:sz w:val="32"/>
          <w:szCs w:val="32"/>
          <w:u w:val="none"/>
          <w:lang w:val="en-US" w:eastAsia="zh-CN"/>
        </w:rPr>
        <w:t>1</w:t>
      </w:r>
      <w:r>
        <w:rPr>
          <w:rFonts w:hint="eastAsia" w:ascii="仿宋_GB2312" w:eastAsia="仿宋_GB2312"/>
          <w:color w:val="auto"/>
          <w:sz w:val="32"/>
          <w:szCs w:val="32"/>
          <w:u w:val="none"/>
        </w:rPr>
        <w:t>个所属单位。其他</w:t>
      </w:r>
      <w:r>
        <w:rPr>
          <w:rFonts w:hint="eastAsia" w:ascii="仿宋_GB2312" w:eastAsia="仿宋_GB2312"/>
          <w:color w:val="auto"/>
          <w:sz w:val="32"/>
          <w:szCs w:val="32"/>
          <w:u w:val="none"/>
          <w:lang w:eastAsia="zh-CN"/>
        </w:rPr>
        <w:t>所属</w:t>
      </w:r>
      <w:r>
        <w:rPr>
          <w:rFonts w:hint="eastAsia" w:ascii="仿宋_GB2312" w:eastAsia="仿宋_GB2312"/>
          <w:color w:val="auto"/>
          <w:sz w:val="32"/>
          <w:szCs w:val="32"/>
          <w:u w:val="none"/>
        </w:rPr>
        <w:t>单位</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无财政拨款安排的“三公”经费预算。</w:t>
      </w:r>
    </w:p>
    <w:p>
      <w:pPr>
        <w:spacing w:line="560" w:lineRule="exact"/>
        <w:ind w:firstLine="640" w:firstLineChars="200"/>
        <w:rPr>
          <w:rFonts w:hint="eastAsia" w:ascii="楷体_GB2312" w:eastAsia="楷体_GB2312" w:cs="Droid Sans"/>
          <w:color w:val="auto"/>
          <w:sz w:val="32"/>
          <w:szCs w:val="32"/>
          <w:u w:val="none"/>
        </w:rPr>
      </w:pPr>
      <w:r>
        <w:rPr>
          <w:rFonts w:hint="eastAsia" w:ascii="楷体_GB2312" w:eastAsia="楷体_GB2312"/>
          <w:color w:val="auto"/>
          <w:sz w:val="32"/>
          <w:szCs w:val="32"/>
          <w:u w:val="none"/>
        </w:rPr>
        <w:t>（二）财政拨款“三公”经费预算情况说明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财政拨款“三公”经费预算291.90万元，比</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财政拨款“三公”经费预算增加27.94万元。其中：</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预算数168.49万元，与20</w:t>
      </w:r>
      <w:bookmarkStart w:id="0" w:name="_GoBack"/>
      <w:bookmarkEnd w:id="0"/>
      <w:r>
        <w:rPr>
          <w:rFonts w:hint="eastAsia" w:ascii="仿宋_GB2312" w:eastAsia="仿宋_GB2312"/>
          <w:color w:val="auto"/>
          <w:sz w:val="32"/>
          <w:szCs w:val="32"/>
          <w:u w:val="none"/>
        </w:rPr>
        <w:t>24年持平。</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万元，与2024年持平。</w:t>
      </w:r>
    </w:p>
    <w:p>
      <w:pPr>
        <w:spacing w:line="540" w:lineRule="exact"/>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预算数123.41万元，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预算数61.91万元，比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预算数17.98万元增加43.9</w:t>
      </w:r>
      <w:r>
        <w:rPr>
          <w:rFonts w:hint="eastAsia" w:ascii="仿宋_GB2312" w:eastAsia="仿宋_GB2312"/>
          <w:color w:val="auto"/>
          <w:sz w:val="32"/>
          <w:szCs w:val="32"/>
          <w:u w:val="none"/>
          <w:lang w:val="en-US" w:eastAsia="zh-CN"/>
        </w:rPr>
        <w:t>3</w:t>
      </w:r>
      <w:r>
        <w:rPr>
          <w:rFonts w:hint="eastAsia" w:ascii="仿宋_GB2312" w:eastAsia="仿宋_GB2312"/>
          <w:color w:val="auto"/>
          <w:sz w:val="32"/>
          <w:szCs w:val="32"/>
          <w:u w:val="none"/>
        </w:rPr>
        <w:t>万元，主要原因：</w:t>
      </w:r>
      <w:r>
        <w:rPr>
          <w:rFonts w:hint="eastAsia" w:ascii="仿宋_GB2312" w:eastAsia="仿宋_GB2312"/>
          <w:color w:val="auto"/>
          <w:sz w:val="32"/>
          <w:szCs w:val="32"/>
          <w:highlight w:val="none"/>
          <w:u w:val="none"/>
        </w:rPr>
        <w:t>根据事业发展规划，新增公车购置</w:t>
      </w:r>
      <w:r>
        <w:rPr>
          <w:rFonts w:hint="eastAsia" w:ascii="仿宋_GB2312" w:eastAsia="仿宋_GB2312"/>
          <w:color w:val="auto"/>
          <w:sz w:val="32"/>
          <w:szCs w:val="32"/>
          <w:highlight w:val="none"/>
          <w:u w:val="none"/>
          <w:lang w:val="en-US" w:eastAsia="zh-CN"/>
        </w:rPr>
        <w:t>2</w:t>
      </w:r>
      <w:r>
        <w:rPr>
          <w:rFonts w:hint="eastAsia" w:ascii="仿宋_GB2312" w:eastAsia="仿宋_GB2312"/>
          <w:color w:val="auto"/>
          <w:sz w:val="32"/>
          <w:szCs w:val="32"/>
          <w:highlight w:val="none"/>
          <w:u w:val="none"/>
        </w:rPr>
        <w:t>辆；公务</w:t>
      </w:r>
      <w:r>
        <w:rPr>
          <w:rFonts w:hint="eastAsia" w:ascii="仿宋_GB2312" w:eastAsia="仿宋_GB2312"/>
          <w:color w:val="auto"/>
          <w:sz w:val="32"/>
          <w:szCs w:val="32"/>
          <w:u w:val="none"/>
        </w:rPr>
        <w:t>用车运行维护费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预算数61.50万元，其中：公务用车燃油19.50万元，公务用车维修26.68万元，公务用车保险10.40万元，其他支出4.92万元。公务用车运行维护费</w:t>
      </w:r>
      <w:r>
        <w:rPr>
          <w:rFonts w:hint="eastAsia" w:ascii="仿宋_GB2312" w:eastAsia="仿宋_GB2312"/>
          <w:color w:val="auto"/>
          <w:sz w:val="32"/>
          <w:szCs w:val="32"/>
          <w:u w:val="none"/>
          <w:lang w:eastAsia="zh-CN"/>
        </w:rPr>
        <w:t>2025年预算数</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w:t>
      </w:r>
      <w:r>
        <w:rPr>
          <w:rFonts w:hint="eastAsia" w:ascii="仿宋_GB2312" w:eastAsia="仿宋_GB2312"/>
          <w:color w:val="auto"/>
          <w:sz w:val="32"/>
          <w:szCs w:val="32"/>
          <w:highlight w:val="none"/>
          <w:u w:val="none"/>
          <w:lang w:eastAsia="zh-CN"/>
        </w:rPr>
        <w:t>024年年初</w:t>
      </w:r>
      <w:r>
        <w:rPr>
          <w:rFonts w:hint="eastAsia" w:ascii="仿宋_GB2312" w:eastAsia="仿宋_GB2312"/>
          <w:color w:val="auto"/>
          <w:sz w:val="32"/>
          <w:szCs w:val="32"/>
          <w:highlight w:val="none"/>
          <w:u w:val="none"/>
        </w:rPr>
        <w:t>预算数77.50万元减少</w:t>
      </w:r>
      <w:r>
        <w:rPr>
          <w:rFonts w:hint="eastAsia" w:ascii="仿宋_GB2312" w:eastAsia="仿宋_GB2312"/>
          <w:color w:val="auto"/>
          <w:sz w:val="32"/>
          <w:szCs w:val="32"/>
          <w:highlight w:val="none"/>
          <w:u w:val="none"/>
          <w:lang w:val="en-US" w:eastAsia="zh-CN"/>
        </w:rPr>
        <w:t>16.00</w:t>
      </w:r>
      <w:r>
        <w:rPr>
          <w:rFonts w:hint="eastAsia" w:ascii="仿宋_GB2312" w:eastAsia="仿宋_GB2312"/>
          <w:color w:val="auto"/>
          <w:sz w:val="32"/>
          <w:szCs w:val="32"/>
          <w:highlight w:val="none"/>
          <w:u w:val="none"/>
        </w:rPr>
        <w:t>万元</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u w:val="none"/>
        </w:rPr>
        <w:t>主要原因：</w:t>
      </w:r>
      <w:r>
        <w:rPr>
          <w:rFonts w:hint="eastAsia" w:ascii="仿宋_GB2312" w:eastAsia="仿宋_GB2312" w:cs="Droid Sans"/>
          <w:color w:val="auto"/>
          <w:sz w:val="32"/>
          <w:szCs w:val="32"/>
          <w:highlight w:val="none"/>
          <w:u w:val="none"/>
        </w:rPr>
        <w:t>落实“过紧日子”要求，进一步压减一般性支出</w:t>
      </w:r>
      <w:r>
        <w:rPr>
          <w:rFonts w:hint="eastAsia" w:ascii="仿宋_GB2312" w:eastAsia="仿宋_GB2312"/>
          <w:color w:val="auto"/>
          <w:sz w:val="32"/>
          <w:szCs w:val="32"/>
          <w:highlight w:val="none"/>
          <w:u w:val="none"/>
        </w:rPr>
        <w:t>。</w:t>
      </w:r>
    </w:p>
    <w:p>
      <w:pPr>
        <w:spacing w:line="560" w:lineRule="exact"/>
        <w:ind w:firstLine="640" w:firstLineChars="200"/>
        <w:rPr>
          <w:rFonts w:hint="eastAsia" w:ascii="黑体" w:eastAsia="黑体"/>
          <w:color w:val="auto"/>
          <w:sz w:val="32"/>
          <w:szCs w:val="32"/>
          <w:highlight w:val="none"/>
          <w:u w:val="none"/>
        </w:rPr>
      </w:pPr>
      <w:r>
        <w:rPr>
          <w:rFonts w:hint="eastAsia" w:ascii="黑体" w:eastAsia="黑体"/>
          <w:color w:val="auto"/>
          <w:sz w:val="32"/>
          <w:szCs w:val="32"/>
          <w:highlight w:val="none"/>
          <w:u w:val="none"/>
          <w:lang w:eastAsia="zh-CN"/>
        </w:rPr>
        <w:t>五</w:t>
      </w:r>
      <w:r>
        <w:rPr>
          <w:rFonts w:hint="eastAsia" w:ascii="黑体" w:eastAsia="黑体"/>
          <w:color w:val="auto"/>
          <w:sz w:val="32"/>
          <w:szCs w:val="32"/>
          <w:highlight w:val="none"/>
          <w:u w:val="none"/>
        </w:rPr>
        <w:t>、其他情况说明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lang w:val="en-US" w:eastAsia="zh-CN"/>
        </w:rPr>
        <w:t>首都师范大学</w:t>
      </w:r>
      <w:r>
        <w:rPr>
          <w:rFonts w:hint="eastAsia" w:ascii="仿宋_GB2312" w:eastAsia="仿宋_GB2312"/>
          <w:color w:val="auto"/>
          <w:sz w:val="32"/>
          <w:szCs w:val="32"/>
          <w:u w:val="none"/>
        </w:rPr>
        <w:t>政府采购预算总额45280.23万元，其中：政府采购货物预算9175.7</w:t>
      </w:r>
      <w:r>
        <w:rPr>
          <w:rFonts w:hint="eastAsia" w:ascii="仿宋_GB2312" w:eastAsia="仿宋_GB2312"/>
          <w:color w:val="auto"/>
          <w:sz w:val="32"/>
          <w:szCs w:val="32"/>
          <w:u w:val="none"/>
          <w:lang w:val="en-US" w:eastAsia="zh-CN"/>
        </w:rPr>
        <w:t>1</w:t>
      </w:r>
      <w:r>
        <w:rPr>
          <w:rFonts w:hint="eastAsia" w:ascii="仿宋_GB2312" w:eastAsia="仿宋_GB2312"/>
          <w:color w:val="auto"/>
          <w:sz w:val="32"/>
          <w:szCs w:val="32"/>
          <w:u w:val="none"/>
        </w:rPr>
        <w:t>万元，政府采购工程预算1625.3</w:t>
      </w:r>
      <w:r>
        <w:rPr>
          <w:rFonts w:hint="eastAsia" w:ascii="仿宋_GB2312" w:eastAsia="仿宋_GB2312"/>
          <w:color w:val="auto"/>
          <w:sz w:val="32"/>
          <w:szCs w:val="32"/>
          <w:u w:val="none"/>
          <w:lang w:val="en-US" w:eastAsia="zh-CN"/>
        </w:rPr>
        <w:t>1</w:t>
      </w:r>
      <w:r>
        <w:rPr>
          <w:rFonts w:hint="eastAsia" w:ascii="仿宋_GB2312" w:eastAsia="仿宋_GB2312"/>
          <w:color w:val="auto"/>
          <w:sz w:val="32"/>
          <w:szCs w:val="32"/>
          <w:u w:val="none"/>
        </w:rPr>
        <w:t>万元，政府采购服务预算34479.21万元。</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pPr>
        <w:spacing w:line="54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本单位2025年无政府购买服务预算。</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我单位不在机关运行经费统计范围之内。</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w:t>
      </w:r>
      <w:r>
        <w:rPr>
          <w:rFonts w:hint="eastAsia" w:ascii="仿宋_GB2312" w:eastAsia="仿宋_GB2312"/>
          <w:color w:val="auto"/>
          <w:sz w:val="32"/>
          <w:szCs w:val="32"/>
          <w:u w:val="none"/>
          <w:lang w:val="en-US" w:eastAsia="zh-CN"/>
        </w:rPr>
        <w:t>首都师范大学</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val="en-US" w:eastAsia="zh-CN"/>
        </w:rPr>
        <w:t>51</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val="en-US" w:eastAsia="zh-CN"/>
        </w:rPr>
        <w:t>51</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%。填报绩效目标的项目支出预算23588.31万元，占本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w:t>
      </w:r>
      <w:r>
        <w:rPr>
          <w:rFonts w:hint="eastAsia" w:ascii="楷体_GB2312" w:eastAsia="楷体_GB2312" w:cs="Droid Sans"/>
          <w:color w:val="auto"/>
          <w:sz w:val="32"/>
          <w:szCs w:val="32"/>
          <w:u w:val="none"/>
        </w:rPr>
        <w:t>重点行政事业性收费情况说明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无重点行政事业性收费</w:t>
      </w:r>
      <w:r>
        <w:rPr>
          <w:rFonts w:hint="eastAsia" w:ascii="仿宋_GB2312" w:eastAsia="仿宋_GB2312"/>
          <w:color w:val="auto"/>
          <w:sz w:val="32"/>
          <w:szCs w:val="32"/>
          <w:u w:val="none"/>
          <w:lang w:eastAsia="zh-CN"/>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p>
    <w:p>
      <w:pPr>
        <w:spacing w:line="560" w:lineRule="exact"/>
        <w:ind w:firstLine="640" w:firstLineChars="200"/>
        <w:rPr>
          <w:rFonts w:hint="eastAsia" w:ascii="仿宋_GB2312" w:eastAsia="仿宋_GB2312"/>
          <w:color w:val="000000"/>
          <w:sz w:val="32"/>
          <w:szCs w:val="32"/>
          <w:u w:val="none"/>
        </w:rPr>
      </w:pPr>
      <w:r>
        <w:rPr>
          <w:rFonts w:hint="eastAsia" w:ascii="楷体_GB2312" w:eastAsia="楷体_GB2312"/>
          <w:color w:val="000000"/>
          <w:sz w:val="32"/>
          <w:szCs w:val="32"/>
          <w:u w:val="none"/>
        </w:rPr>
        <w:t>（七）国有资产占用情况说明</w:t>
      </w:r>
    </w:p>
    <w:p>
      <w:pPr>
        <w:spacing w:line="560" w:lineRule="exact"/>
        <w:ind w:firstLine="640" w:firstLineChars="200"/>
        <w:rPr>
          <w:rFonts w:hint="eastAsia" w:ascii="仿宋_GB2312" w:eastAsia="仿宋_GB2312"/>
          <w:color w:val="000000"/>
          <w:sz w:val="32"/>
          <w:szCs w:val="32"/>
          <w:u w:val="none"/>
          <w:lang w:val="en-US" w:eastAsia="zh-CN"/>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2024</w:t>
      </w:r>
      <w:r>
        <w:rPr>
          <w:rFonts w:hint="eastAsia" w:ascii="仿宋_GB2312" w:eastAsia="仿宋_GB2312"/>
          <w:color w:val="000000"/>
          <w:sz w:val="32"/>
          <w:szCs w:val="32"/>
          <w:u w:val="none"/>
        </w:rPr>
        <w:t>年底，</w:t>
      </w:r>
      <w:r>
        <w:rPr>
          <w:rFonts w:hint="eastAsia" w:ascii="仿宋_GB2312" w:eastAsia="仿宋_GB2312"/>
          <w:color w:val="000000"/>
          <w:sz w:val="32"/>
          <w:szCs w:val="32"/>
          <w:u w:val="none"/>
          <w:lang w:val="en-US" w:eastAsia="zh-CN"/>
        </w:rPr>
        <w:t>首都师范大学</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63</w:t>
      </w:r>
      <w:r>
        <w:rPr>
          <w:rFonts w:hint="eastAsia" w:ascii="仿宋_GB2312" w:eastAsia="仿宋_GB2312"/>
          <w:color w:val="000000"/>
          <w:sz w:val="32"/>
          <w:szCs w:val="32"/>
          <w:u w:val="none"/>
        </w:rPr>
        <w:t>台，共计1636.17万元；单位价值50万元以上的设备479台（套）、共计50464.16万元。</w:t>
      </w:r>
      <w:r>
        <w:rPr>
          <w:rFonts w:hint="eastAsia" w:ascii="仿宋_GB2312" w:eastAsia="仿宋_GB2312"/>
          <w:color w:val="000000"/>
          <w:sz w:val="32"/>
          <w:szCs w:val="32"/>
          <w:u w:val="none"/>
          <w:lang w:val="en-US" w:eastAsia="zh-CN"/>
        </w:rPr>
        <w:t>2025年预算安排中，购置单位价值50万元以上的设备3台（套），共计9043.80万元。</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（八）重点支出和重大投资项目情况说明</w:t>
      </w:r>
    </w:p>
    <w:p>
      <w:pPr>
        <w:spacing w:line="560" w:lineRule="exact"/>
        <w:ind w:firstLine="640" w:firstLineChars="200"/>
        <w:rPr>
          <w:rFonts w:hint="eastAsia" w:ascii="仿宋_GB2312" w:hAnsi="仿宋_GB2312" w:eastAsia="仿宋_GB2312" w:cs="仿宋_GB2312"/>
          <w:b w:val="0"/>
          <w:bCs w:val="0"/>
          <w:color w:val="000000"/>
          <w:sz w:val="32"/>
          <w:szCs w:val="32"/>
          <w:u w:val="none"/>
        </w:rPr>
      </w:pPr>
      <w:r>
        <w:rPr>
          <w:rFonts w:hint="eastAsia" w:ascii="仿宋_GB2312" w:hAnsi="仿宋_GB2312" w:eastAsia="仿宋_GB2312" w:cs="仿宋_GB2312"/>
          <w:b w:val="0"/>
          <w:bCs w:val="0"/>
          <w:color w:val="000000"/>
          <w:sz w:val="32"/>
          <w:szCs w:val="32"/>
          <w:u w:val="none"/>
          <w:lang w:val="en-US" w:eastAsia="zh-CN"/>
        </w:rPr>
        <w:t>首都师范大学</w:t>
      </w:r>
      <w:r>
        <w:rPr>
          <w:rFonts w:hint="eastAsia" w:ascii="仿宋_GB2312" w:hAnsi="仿宋_GB2312" w:eastAsia="仿宋_GB2312" w:cs="仿宋_GB2312"/>
          <w:b w:val="0"/>
          <w:bCs w:val="0"/>
          <w:color w:val="000000"/>
          <w:sz w:val="32"/>
          <w:szCs w:val="32"/>
          <w:u w:val="none"/>
        </w:rPr>
        <w:t>涉及1个重点支出项目，为教育领域卓越青年科学家计划项目；涉及</w:t>
      </w:r>
      <w:r>
        <w:rPr>
          <w:rFonts w:hint="eastAsia" w:ascii="仿宋_GB2312" w:hAnsi="仿宋_GB2312" w:eastAsia="仿宋_GB2312" w:cs="仿宋_GB2312"/>
          <w:b w:val="0"/>
          <w:bCs w:val="0"/>
          <w:color w:val="000000"/>
          <w:sz w:val="32"/>
          <w:szCs w:val="32"/>
          <w:u w:val="none"/>
          <w:lang w:val="en-US" w:eastAsia="zh-CN"/>
        </w:rPr>
        <w:t>1</w:t>
      </w:r>
      <w:r>
        <w:rPr>
          <w:rFonts w:hint="eastAsia" w:ascii="仿宋_GB2312" w:hAnsi="仿宋_GB2312" w:eastAsia="仿宋_GB2312" w:cs="仿宋_GB2312"/>
          <w:b w:val="0"/>
          <w:bCs w:val="0"/>
          <w:color w:val="000000"/>
          <w:sz w:val="32"/>
          <w:szCs w:val="32"/>
          <w:u w:val="none"/>
        </w:rPr>
        <w:t>个重大投资项目，</w:t>
      </w:r>
      <w:r>
        <w:rPr>
          <w:rFonts w:hint="eastAsia" w:ascii="仿宋_GB2312" w:hAnsi="仿宋_GB2312" w:eastAsia="仿宋_GB2312" w:cs="仿宋_GB2312"/>
          <w:b w:val="0"/>
          <w:bCs w:val="0"/>
          <w:color w:val="000000"/>
          <w:sz w:val="32"/>
          <w:szCs w:val="32"/>
          <w:u w:val="none"/>
          <w:lang w:val="en-US" w:eastAsia="zh-CN"/>
        </w:rPr>
        <w:t>为</w:t>
      </w:r>
      <w:r>
        <w:rPr>
          <w:rFonts w:hint="eastAsia" w:ascii="仿宋_GB2312" w:hAnsi="仿宋_GB2312" w:eastAsia="仿宋_GB2312" w:cs="仿宋_GB2312"/>
          <w:b w:val="0"/>
          <w:bCs w:val="0"/>
          <w:color w:val="000000"/>
          <w:sz w:val="32"/>
          <w:szCs w:val="32"/>
          <w:u w:val="none"/>
        </w:rPr>
        <w:t>首都师范大学良乡校区二期工程（北区）项目。</w:t>
      </w:r>
    </w:p>
    <w:p>
      <w:pPr>
        <w:spacing w:line="560" w:lineRule="exact"/>
        <w:ind w:firstLine="640" w:firstLineChars="200"/>
        <w:rPr>
          <w:rFonts w:hint="eastAsia" w:ascii="仿宋_GB2312" w:hAnsi="仿宋_GB2312" w:eastAsia="仿宋_GB2312" w:cs="仿宋_GB2312"/>
          <w:b w:val="0"/>
          <w:bCs w:val="0"/>
          <w:color w:val="000000"/>
          <w:sz w:val="32"/>
          <w:szCs w:val="32"/>
          <w:u w:val="none"/>
        </w:rPr>
      </w:pPr>
      <w:r>
        <w:rPr>
          <w:rFonts w:hint="eastAsia" w:ascii="仿宋_GB2312" w:hAnsi="仿宋_GB2312" w:eastAsia="仿宋_GB2312" w:cs="仿宋_GB2312"/>
          <w:b w:val="0"/>
          <w:bCs w:val="0"/>
          <w:color w:val="000000"/>
          <w:sz w:val="32"/>
          <w:szCs w:val="32"/>
          <w:u w:val="none"/>
        </w:rPr>
        <w:t>1.教育领域卓越青年科学家计划项目</w:t>
      </w:r>
    </w:p>
    <w:p>
      <w:pPr>
        <w:spacing w:line="560" w:lineRule="exact"/>
        <w:ind w:firstLine="640" w:firstLineChars="200"/>
        <w:rPr>
          <w:rFonts w:hint="eastAsia" w:ascii="仿宋_GB2312" w:hAnsi="仿宋_GB2312" w:eastAsia="仿宋_GB2312" w:cs="仿宋_GB2312"/>
          <w:b w:val="0"/>
          <w:bCs w:val="0"/>
          <w:color w:val="000000"/>
          <w:sz w:val="32"/>
          <w:szCs w:val="32"/>
          <w:u w:val="none"/>
        </w:rPr>
      </w:pPr>
      <w:r>
        <w:rPr>
          <w:rFonts w:hint="eastAsia" w:ascii="仿宋_GB2312" w:hAnsi="仿宋_GB2312" w:eastAsia="仿宋_GB2312" w:cs="仿宋_GB2312"/>
          <w:b w:val="0"/>
          <w:bCs w:val="0"/>
          <w:color w:val="000000"/>
          <w:sz w:val="32"/>
          <w:szCs w:val="32"/>
          <w:u w:val="none"/>
        </w:rPr>
        <w:t>（1）政策依据：《关于改革完善中央财政科研经费管理的若干意见》《北京市“十四五”时期国际科技创新中心建设规划》《关于统筹推进北京高等教育改革发展的若干意见》。</w:t>
      </w:r>
    </w:p>
    <w:p>
      <w:pPr>
        <w:spacing w:line="560" w:lineRule="exact"/>
        <w:ind w:firstLine="640" w:firstLineChars="200"/>
        <w:rPr>
          <w:rFonts w:hint="eastAsia" w:ascii="仿宋_GB2312" w:hAnsi="仿宋_GB2312" w:eastAsia="仿宋_GB2312" w:cs="仿宋_GB2312"/>
          <w:b w:val="0"/>
          <w:bCs w:val="0"/>
          <w:color w:val="000000"/>
          <w:sz w:val="32"/>
          <w:szCs w:val="32"/>
          <w:u w:val="none"/>
        </w:rPr>
      </w:pPr>
      <w:r>
        <w:rPr>
          <w:rFonts w:hint="eastAsia" w:ascii="仿宋_GB2312" w:hAnsi="仿宋_GB2312" w:eastAsia="仿宋_GB2312" w:cs="仿宋_GB2312"/>
          <w:b w:val="0"/>
          <w:bCs w:val="0"/>
          <w:color w:val="000000"/>
          <w:sz w:val="32"/>
          <w:szCs w:val="32"/>
          <w:u w:val="none"/>
        </w:rPr>
        <w:t>（2）绩效目标：以服务国家重大战略需求和国际科技创新中心建设为导向，主动适应科学和创新范式调整变革，聚焦国家战略必争领域、北京高精尖产业需求或哲学社会科学重点领域，发现和培养一批45岁以下高层次复合型人才，开展跨学科、跨领域深度协同与集智攻关，推动基础理论研究到技术产业化应用一体化创新，在重点领域取得一批原创性科研成果，攻克一批关键核心技术，转化一批前沿科研成果，推动高校全面融入首都经济社会发展。</w:t>
      </w:r>
    </w:p>
    <w:p>
      <w:pPr>
        <w:spacing w:line="560" w:lineRule="exact"/>
        <w:ind w:firstLine="640" w:firstLineChars="200"/>
        <w:rPr>
          <w:rFonts w:hint="eastAsia" w:ascii="仿宋_GB2312" w:hAnsi="仿宋_GB2312" w:eastAsia="仿宋_GB2312" w:cs="仿宋_GB2312"/>
          <w:b w:val="0"/>
          <w:bCs w:val="0"/>
          <w:color w:val="000000"/>
          <w:sz w:val="32"/>
          <w:szCs w:val="32"/>
          <w:u w:val="none"/>
        </w:rPr>
      </w:pPr>
      <w:r>
        <w:rPr>
          <w:rFonts w:hint="eastAsia" w:ascii="仿宋_GB2312" w:hAnsi="仿宋_GB2312" w:eastAsia="仿宋_GB2312" w:cs="仿宋_GB2312"/>
          <w:b w:val="0"/>
          <w:bCs w:val="0"/>
          <w:color w:val="000000"/>
          <w:sz w:val="32"/>
          <w:szCs w:val="32"/>
          <w:u w:val="none"/>
        </w:rPr>
        <w:t>（3）预算安排：2025年年初预算安排</w:t>
      </w:r>
      <w:r>
        <w:rPr>
          <w:rFonts w:hint="eastAsia" w:ascii="仿宋_GB2312" w:hAnsi="仿宋_GB2312" w:eastAsia="仿宋_GB2312" w:cs="仿宋_GB2312"/>
          <w:b w:val="0"/>
          <w:bCs w:val="0"/>
          <w:color w:val="000000"/>
          <w:sz w:val="32"/>
          <w:szCs w:val="32"/>
          <w:u w:val="none"/>
          <w:lang w:val="en-US" w:eastAsia="zh-CN"/>
        </w:rPr>
        <w:t>320.00万</w:t>
      </w:r>
      <w:r>
        <w:rPr>
          <w:rFonts w:hint="eastAsia" w:ascii="仿宋_GB2312" w:hAnsi="仿宋_GB2312" w:eastAsia="仿宋_GB2312" w:cs="仿宋_GB2312"/>
          <w:b w:val="0"/>
          <w:bCs w:val="0"/>
          <w:color w:val="000000"/>
          <w:sz w:val="32"/>
          <w:szCs w:val="32"/>
          <w:u w:val="none"/>
        </w:rPr>
        <w:t>元。</w:t>
      </w:r>
    </w:p>
    <w:p>
      <w:pPr>
        <w:spacing w:line="560" w:lineRule="exact"/>
        <w:ind w:firstLine="640" w:firstLineChars="200"/>
        <w:rPr>
          <w:rFonts w:hint="eastAsia" w:ascii="仿宋_GB2312" w:hAnsi="仿宋_GB2312" w:eastAsia="仿宋_GB2312" w:cs="仿宋_GB2312"/>
          <w:b w:val="0"/>
          <w:bCs w:val="0"/>
          <w:color w:val="000000"/>
          <w:sz w:val="32"/>
          <w:szCs w:val="32"/>
          <w:u w:val="none"/>
        </w:rPr>
      </w:pPr>
      <w:r>
        <w:rPr>
          <w:rFonts w:hint="eastAsia" w:ascii="仿宋_GB2312" w:hAnsi="仿宋_GB2312" w:eastAsia="仿宋_GB2312" w:cs="仿宋_GB2312"/>
          <w:b w:val="0"/>
          <w:bCs w:val="0"/>
          <w:color w:val="000000"/>
          <w:sz w:val="32"/>
          <w:szCs w:val="32"/>
          <w:u w:val="none"/>
        </w:rPr>
        <w:t>（4）实施方案：“卓青项目”实施周期为五年，按照自然科学类、人文社会科学类进行分类管理、滚动支持。市教委面向北京地区本科层次以上高校，遴选青年科研领军人才实施“卓青项目”。“卓青项目”依托高校和项目负责人应积极吸纳优秀科研院所、行业头部企业、国际创新力量共同开展研究，提升项目创新水平以及与所在产业需求契合度。“卓青项目”负责人为北京高校教师或与北京高校具有稳定合作关系的国际创新人才，有能力组织并领导高水平科研团队，在科研创新上具有赶超国际先进水平的潜力，有能力成为在国内外具有一定影响力的中青年科学家。项目负责人年龄原则上不超过45周岁。由项目申请人所在高校统一申报。“卓青项目”按照专家推荐、项目论证等步骤公开择优确定拟支持项目，并报相关会议审议，审议结果予以公示，公示期满无异议后立项支持。</w:t>
      </w:r>
    </w:p>
    <w:p>
      <w:pPr>
        <w:spacing w:line="560" w:lineRule="exact"/>
        <w:ind w:firstLine="640" w:firstLineChars="200"/>
        <w:rPr>
          <w:rFonts w:hint="eastAsia" w:ascii="仿宋_GB2312" w:hAnsi="仿宋_GB2312" w:eastAsia="仿宋_GB2312" w:cs="仿宋_GB2312"/>
          <w:b w:val="0"/>
          <w:bCs w:val="0"/>
          <w:color w:val="000000"/>
          <w:sz w:val="32"/>
          <w:szCs w:val="32"/>
          <w:u w:val="none"/>
        </w:rPr>
      </w:pPr>
      <w:r>
        <w:rPr>
          <w:rFonts w:hint="eastAsia" w:ascii="仿宋_GB2312" w:hAnsi="仿宋_GB2312" w:eastAsia="仿宋_GB2312" w:cs="仿宋_GB2312"/>
          <w:b w:val="0"/>
          <w:bCs w:val="0"/>
          <w:color w:val="000000"/>
          <w:sz w:val="32"/>
          <w:szCs w:val="32"/>
          <w:u w:val="none"/>
          <w:lang w:val="en-US" w:eastAsia="zh-CN"/>
        </w:rPr>
        <w:t>2.</w:t>
      </w:r>
      <w:r>
        <w:rPr>
          <w:rFonts w:hint="eastAsia" w:ascii="仿宋_GB2312" w:hAnsi="仿宋_GB2312" w:eastAsia="仿宋_GB2312" w:cs="仿宋_GB2312"/>
          <w:b w:val="0"/>
          <w:bCs w:val="0"/>
          <w:color w:val="000000"/>
          <w:sz w:val="32"/>
          <w:szCs w:val="32"/>
          <w:u w:val="none"/>
        </w:rPr>
        <w:t>首都师范大学良乡校区二期工程（北区）</w:t>
      </w:r>
    </w:p>
    <w:p>
      <w:pPr>
        <w:spacing w:line="560" w:lineRule="exact"/>
        <w:ind w:firstLine="640" w:firstLineChars="200"/>
        <w:rPr>
          <w:rFonts w:hint="eastAsia" w:ascii="仿宋_GB2312" w:hAnsi="仿宋_GB2312" w:eastAsia="仿宋_GB2312" w:cs="仿宋_GB2312"/>
          <w:b w:val="0"/>
          <w:bCs w:val="0"/>
          <w:color w:val="000000"/>
          <w:sz w:val="32"/>
          <w:szCs w:val="32"/>
          <w:u w:val="none"/>
        </w:rPr>
      </w:pPr>
      <w:r>
        <w:rPr>
          <w:rFonts w:hint="eastAsia" w:ascii="仿宋_GB2312" w:hAnsi="仿宋_GB2312" w:eastAsia="仿宋_GB2312" w:cs="仿宋_GB2312"/>
          <w:b w:val="0"/>
          <w:bCs w:val="0"/>
          <w:color w:val="000000"/>
          <w:sz w:val="32"/>
          <w:szCs w:val="32"/>
          <w:u w:val="none"/>
          <w:lang w:eastAsia="zh-CN"/>
        </w:rPr>
        <w:t>（</w:t>
      </w:r>
      <w:r>
        <w:rPr>
          <w:rFonts w:hint="eastAsia" w:ascii="仿宋_GB2312" w:hAnsi="仿宋_GB2312" w:eastAsia="仿宋_GB2312" w:cs="仿宋_GB2312"/>
          <w:b w:val="0"/>
          <w:bCs w:val="0"/>
          <w:color w:val="000000"/>
          <w:sz w:val="32"/>
          <w:szCs w:val="32"/>
          <w:u w:val="none"/>
          <w:lang w:val="en-US" w:eastAsia="zh-CN"/>
        </w:rPr>
        <w:t>1</w:t>
      </w:r>
      <w:r>
        <w:rPr>
          <w:rFonts w:hint="eastAsia" w:ascii="仿宋_GB2312" w:hAnsi="仿宋_GB2312" w:eastAsia="仿宋_GB2312" w:cs="仿宋_GB2312"/>
          <w:b w:val="0"/>
          <w:bCs w:val="0"/>
          <w:color w:val="000000"/>
          <w:sz w:val="32"/>
          <w:szCs w:val="32"/>
          <w:u w:val="none"/>
          <w:lang w:eastAsia="zh-CN"/>
        </w:rPr>
        <w:t>）</w:t>
      </w:r>
      <w:r>
        <w:rPr>
          <w:rFonts w:hint="eastAsia" w:ascii="仿宋_GB2312" w:hAnsi="仿宋_GB2312" w:eastAsia="仿宋_GB2312" w:cs="仿宋_GB2312"/>
          <w:b w:val="0"/>
          <w:bCs w:val="0"/>
          <w:color w:val="000000"/>
          <w:sz w:val="32"/>
          <w:szCs w:val="32"/>
          <w:u w:val="none"/>
        </w:rPr>
        <w:t>建设意义：该项目是落实京津冀协同发展要求、推动市属高校向京郊转移的重大项目，是推动“双一流”建设、落实教育强国战略的重点项目。</w:t>
      </w:r>
    </w:p>
    <w:p>
      <w:pPr>
        <w:spacing w:line="560" w:lineRule="exact"/>
        <w:ind w:firstLine="640" w:firstLineChars="200"/>
        <w:rPr>
          <w:rFonts w:hint="eastAsia" w:ascii="仿宋_GB2312" w:hAnsi="仿宋_GB2312" w:eastAsia="仿宋_GB2312" w:cs="仿宋_GB2312"/>
          <w:b w:val="0"/>
          <w:bCs w:val="0"/>
          <w:color w:val="000000"/>
          <w:sz w:val="32"/>
          <w:szCs w:val="32"/>
          <w:u w:val="none"/>
        </w:rPr>
      </w:pPr>
      <w:r>
        <w:rPr>
          <w:rFonts w:hint="eastAsia" w:ascii="仿宋_GB2312" w:hAnsi="仿宋_GB2312" w:eastAsia="仿宋_GB2312" w:cs="仿宋_GB2312"/>
          <w:b w:val="0"/>
          <w:bCs w:val="0"/>
          <w:color w:val="000000"/>
          <w:sz w:val="32"/>
          <w:szCs w:val="32"/>
          <w:u w:val="none"/>
          <w:lang w:eastAsia="zh-CN"/>
        </w:rPr>
        <w:t>（</w:t>
      </w:r>
      <w:r>
        <w:rPr>
          <w:rFonts w:hint="eastAsia" w:ascii="仿宋_GB2312" w:hAnsi="仿宋_GB2312" w:eastAsia="仿宋_GB2312" w:cs="仿宋_GB2312"/>
          <w:b w:val="0"/>
          <w:bCs w:val="0"/>
          <w:color w:val="000000"/>
          <w:sz w:val="32"/>
          <w:szCs w:val="32"/>
          <w:u w:val="none"/>
          <w:lang w:val="en-US" w:eastAsia="zh-CN"/>
        </w:rPr>
        <w:t>2</w:t>
      </w:r>
      <w:r>
        <w:rPr>
          <w:rFonts w:hint="eastAsia" w:ascii="仿宋_GB2312" w:hAnsi="仿宋_GB2312" w:eastAsia="仿宋_GB2312" w:cs="仿宋_GB2312"/>
          <w:b w:val="0"/>
          <w:bCs w:val="0"/>
          <w:color w:val="000000"/>
          <w:sz w:val="32"/>
          <w:szCs w:val="32"/>
          <w:u w:val="none"/>
          <w:lang w:eastAsia="zh-CN"/>
        </w:rPr>
        <w:t>）</w:t>
      </w:r>
      <w:r>
        <w:rPr>
          <w:rFonts w:hint="eastAsia" w:ascii="仿宋_GB2312" w:hAnsi="仿宋_GB2312" w:eastAsia="仿宋_GB2312" w:cs="仿宋_GB2312"/>
          <w:b w:val="0"/>
          <w:bCs w:val="0"/>
          <w:color w:val="000000"/>
          <w:sz w:val="32"/>
          <w:szCs w:val="32"/>
          <w:u w:val="none"/>
        </w:rPr>
        <w:t>建设内容：项目位于房山区良乡组团，新建总建筑面积约为13万平方米，主要建设内容包括教室、实验实习用房、图书馆、师生活动用房、院系级教师办公用房、学生宿舍、食堂、后勤及附属用房、人防工程和设备用房等。</w:t>
      </w:r>
    </w:p>
    <w:p>
      <w:pPr>
        <w:spacing w:line="560" w:lineRule="exact"/>
        <w:ind w:firstLine="640" w:firstLineChars="200"/>
        <w:rPr>
          <w:rFonts w:hint="eastAsia" w:ascii="仿宋_GB2312" w:hAnsi="仿宋_GB2312" w:eastAsia="仿宋_GB2312" w:cs="仿宋_GB2312"/>
          <w:b w:val="0"/>
          <w:bCs w:val="0"/>
          <w:color w:val="000000"/>
          <w:sz w:val="32"/>
          <w:szCs w:val="32"/>
          <w:u w:val="none"/>
        </w:rPr>
      </w:pPr>
      <w:r>
        <w:rPr>
          <w:rFonts w:hint="eastAsia" w:ascii="仿宋_GB2312" w:hAnsi="仿宋_GB2312" w:eastAsia="仿宋_GB2312" w:cs="仿宋_GB2312"/>
          <w:b w:val="0"/>
          <w:bCs w:val="0"/>
          <w:color w:val="000000"/>
          <w:sz w:val="32"/>
          <w:szCs w:val="32"/>
          <w:u w:val="none"/>
          <w:lang w:eastAsia="zh-CN"/>
        </w:rPr>
        <w:t>（</w:t>
      </w:r>
      <w:r>
        <w:rPr>
          <w:rFonts w:hint="eastAsia" w:ascii="仿宋_GB2312" w:hAnsi="仿宋_GB2312" w:eastAsia="仿宋_GB2312" w:cs="仿宋_GB2312"/>
          <w:b w:val="0"/>
          <w:bCs w:val="0"/>
          <w:color w:val="000000"/>
          <w:sz w:val="32"/>
          <w:szCs w:val="32"/>
          <w:u w:val="none"/>
          <w:lang w:val="en-US" w:eastAsia="zh-CN"/>
        </w:rPr>
        <w:t>3</w:t>
      </w:r>
      <w:r>
        <w:rPr>
          <w:rFonts w:hint="eastAsia" w:ascii="仿宋_GB2312" w:hAnsi="仿宋_GB2312" w:eastAsia="仿宋_GB2312" w:cs="仿宋_GB2312"/>
          <w:b w:val="0"/>
          <w:bCs w:val="0"/>
          <w:color w:val="000000"/>
          <w:sz w:val="32"/>
          <w:szCs w:val="32"/>
          <w:u w:val="none"/>
          <w:lang w:eastAsia="zh-CN"/>
        </w:rPr>
        <w:t>）</w:t>
      </w:r>
      <w:r>
        <w:rPr>
          <w:rFonts w:hint="eastAsia" w:ascii="仿宋_GB2312" w:hAnsi="仿宋_GB2312" w:eastAsia="仿宋_GB2312" w:cs="仿宋_GB2312"/>
          <w:b w:val="0"/>
          <w:bCs w:val="0"/>
          <w:color w:val="000000"/>
          <w:sz w:val="32"/>
          <w:szCs w:val="32"/>
          <w:u w:val="none"/>
        </w:rPr>
        <w:t>项目投资：2025年计划下达市政府固定资产投资1亿元。</w:t>
      </w:r>
    </w:p>
    <w:p>
      <w:pPr>
        <w:spacing w:line="560" w:lineRule="exact"/>
        <w:ind w:firstLine="640" w:firstLineChars="200"/>
        <w:rPr>
          <w:rFonts w:hint="eastAsia" w:ascii="仿宋_GB2312" w:eastAsia="仿宋_GB2312"/>
          <w:color w:val="000000"/>
          <w:spacing w:val="-2"/>
          <w:sz w:val="32"/>
          <w:szCs w:val="32"/>
          <w:u w:val="none"/>
        </w:rPr>
      </w:pPr>
      <w:r>
        <w:rPr>
          <w:rFonts w:hint="eastAsia" w:ascii="黑体" w:eastAsia="黑体"/>
          <w:color w:val="000000"/>
          <w:sz w:val="32"/>
          <w:szCs w:val="32"/>
          <w:u w:val="none"/>
        </w:rPr>
        <w:t>六、名词解释</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pPr>
        <w:rPr>
          <w:rFonts w:hint="eastAsia"/>
        </w:rPr>
      </w:pPr>
    </w:p>
    <w:p>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br w:type="page"/>
      </w: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单位预算报表</w:t>
      </w:r>
    </w:p>
    <w:p>
      <w:pPr>
        <w:spacing w:line="560" w:lineRule="exact"/>
        <w:ind w:firstLine="640" w:firstLineChars="200"/>
        <w:rPr>
          <w:rFonts w:hint="eastAsia" w:ascii="仿宋_GB2312" w:eastAsia="仿宋_GB2312"/>
          <w:color w:val="000000"/>
          <w:sz w:val="32"/>
          <w:szCs w:val="32"/>
          <w:u w:val="none"/>
        </w:rPr>
      </w:pPr>
    </w:p>
    <w:p>
      <w:pPr>
        <w:spacing w:line="560" w:lineRule="exact"/>
        <w:ind w:firstLine="640" w:firstLineChars="200"/>
        <w:rPr>
          <w:rFonts w:hint="eastAsia" w:ascii="仿宋_GB2312" w:eastAsia="仿宋_GB2312" w:cs="宋体"/>
          <w:color w:val="000000"/>
          <w:kern w:val="0"/>
          <w:sz w:val="32"/>
          <w:szCs w:val="32"/>
          <w:u w:val="none"/>
          <w:lang w:val="zh-CN"/>
        </w:rPr>
      </w:pPr>
      <w:r>
        <w:rPr>
          <w:rFonts w:hint="eastAsia" w:ascii="仿宋_GB2312" w:eastAsia="仿宋_GB2312"/>
          <w:color w:val="000000"/>
          <w:sz w:val="32"/>
          <w:szCs w:val="32"/>
          <w:u w:val="none"/>
        </w:rPr>
        <w:t>附件：</w:t>
      </w:r>
      <w:r>
        <w:rPr>
          <w:rFonts w:hint="eastAsia" w:ascii="仿宋_GB2312" w:eastAsia="仿宋_GB2312"/>
          <w:color w:val="000000"/>
          <w:sz w:val="32"/>
          <w:szCs w:val="32"/>
          <w:u w:val="none"/>
          <w:lang w:val="en-US" w:eastAsia="zh-CN"/>
        </w:rPr>
        <w:t>首都师范大学</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pPr>
        <w:spacing w:line="560" w:lineRule="exact"/>
        <w:ind w:firstLine="640" w:firstLineChars="200"/>
        <w:rPr>
          <w:rFonts w:hint="eastAsia" w:ascii="仿宋_GB2312" w:eastAsia="仿宋_GB2312"/>
          <w:color w:val="000000"/>
          <w:sz w:val="32"/>
          <w:szCs w:val="32"/>
          <w:u w:val="none"/>
        </w:rPr>
      </w:pPr>
    </w:p>
    <w:p>
      <w:pPr>
        <w:rPr>
          <w:rFonts w:hint="eastAsia" w:ascii="仿宋_GB2312" w:eastAsia="仿宋_GB2312"/>
          <w:sz w:val="32"/>
          <w:szCs w:val="32"/>
          <w:u w:val="none"/>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803050406030204"/>
    <w:charset w:val="00"/>
    <w:family w:val="roman"/>
    <w:pitch w:val="default"/>
    <w:sig w:usb0="E00006FF" w:usb1="4000045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Droid Sans">
    <w:altName w:val="华文中宋"/>
    <w:panose1 w:val="00000000000000000000"/>
    <w:charset w:val="00"/>
    <w:family w:val="auto"/>
    <w:pitch w:val="default"/>
    <w:sig w:usb0="00000000" w:usb1="00000000" w:usb2="00000000"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vert="horz" wrap="none" lIns="0" tIns="0" rIns="0" bIns="0" anchor="t" anchorCtr="false" upright="false">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Gt+aifHAQAAewMAAA4AAAAAAAAA&#10;AQAgAAAANAEAAGRycy9lMm9Eb2MueG1sUEsFBgAAAAAGAAYAWQEAAG0FAAAAAA==&#10;">
              <v:fill on="f" focussize="0,0"/>
              <v:stroke on="f"/>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5"/>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TrueTypeFonts/>
  <w:saveSubsetFonts/>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lZjZlYjFmZTJiY2ZkOGE3OTMyNDNlZjIwOGU0MDQifQ=="/>
  </w:docVars>
  <w:rsids>
    <w:rsidRoot w:val="00797F79"/>
    <w:rsid w:val="0032325C"/>
    <w:rsid w:val="006F3CD8"/>
    <w:rsid w:val="008A2E8D"/>
    <w:rsid w:val="009F505C"/>
    <w:rsid w:val="00D01278"/>
    <w:rsid w:val="01DE318D"/>
    <w:rsid w:val="0B333027"/>
    <w:rsid w:val="0B5754D0"/>
    <w:rsid w:val="0EFFF08B"/>
    <w:rsid w:val="0F491593"/>
    <w:rsid w:val="1556FFE7"/>
    <w:rsid w:val="15C5774D"/>
    <w:rsid w:val="18240F06"/>
    <w:rsid w:val="1D243F98"/>
    <w:rsid w:val="1D7B2BEA"/>
    <w:rsid w:val="1E2F585A"/>
    <w:rsid w:val="1FB9016F"/>
    <w:rsid w:val="1FE6D21C"/>
    <w:rsid w:val="23735A5C"/>
    <w:rsid w:val="2B9A0B4A"/>
    <w:rsid w:val="2F731B75"/>
    <w:rsid w:val="2F7EA178"/>
    <w:rsid w:val="2FEFCACA"/>
    <w:rsid w:val="2FF31CCC"/>
    <w:rsid w:val="33A21EC2"/>
    <w:rsid w:val="33BF5DDC"/>
    <w:rsid w:val="37BFBFEE"/>
    <w:rsid w:val="37FD2E23"/>
    <w:rsid w:val="3AEE7FDD"/>
    <w:rsid w:val="3B1D5808"/>
    <w:rsid w:val="3BFE8EC0"/>
    <w:rsid w:val="3D3B750B"/>
    <w:rsid w:val="3DFB85D7"/>
    <w:rsid w:val="3DFFFEEB"/>
    <w:rsid w:val="3E578A4D"/>
    <w:rsid w:val="3E7262C9"/>
    <w:rsid w:val="3E7746F2"/>
    <w:rsid w:val="3EAFE38B"/>
    <w:rsid w:val="3EFB023F"/>
    <w:rsid w:val="3F5B7215"/>
    <w:rsid w:val="3F6FC1FB"/>
    <w:rsid w:val="3F730350"/>
    <w:rsid w:val="3F754229"/>
    <w:rsid w:val="3F76647A"/>
    <w:rsid w:val="3F7D5AD8"/>
    <w:rsid w:val="3FBA30DB"/>
    <w:rsid w:val="3FBFE16E"/>
    <w:rsid w:val="3FF7F9C0"/>
    <w:rsid w:val="3FFBC816"/>
    <w:rsid w:val="438D45E6"/>
    <w:rsid w:val="46BE1075"/>
    <w:rsid w:val="48D44964"/>
    <w:rsid w:val="4CD68066"/>
    <w:rsid w:val="4D614EB4"/>
    <w:rsid w:val="4E5B1EC0"/>
    <w:rsid w:val="4E67CE40"/>
    <w:rsid w:val="4F6D150F"/>
    <w:rsid w:val="4FEE37C7"/>
    <w:rsid w:val="4FFB9147"/>
    <w:rsid w:val="50E4240D"/>
    <w:rsid w:val="517E78AA"/>
    <w:rsid w:val="53DF3E7F"/>
    <w:rsid w:val="545DF6FA"/>
    <w:rsid w:val="55DE48F6"/>
    <w:rsid w:val="57553AB4"/>
    <w:rsid w:val="57ADBE82"/>
    <w:rsid w:val="57E332DD"/>
    <w:rsid w:val="57E9CD93"/>
    <w:rsid w:val="57EB425A"/>
    <w:rsid w:val="59D7A30C"/>
    <w:rsid w:val="5BEE7D82"/>
    <w:rsid w:val="5BFC36A8"/>
    <w:rsid w:val="5F5F35ED"/>
    <w:rsid w:val="5FB4B9F0"/>
    <w:rsid w:val="5FBA6CF8"/>
    <w:rsid w:val="5FD532B6"/>
    <w:rsid w:val="5FE95128"/>
    <w:rsid w:val="5FF3352E"/>
    <w:rsid w:val="5FFFD6B5"/>
    <w:rsid w:val="610E5494"/>
    <w:rsid w:val="67BF653D"/>
    <w:rsid w:val="67FBD21B"/>
    <w:rsid w:val="68B22234"/>
    <w:rsid w:val="69CDDFC6"/>
    <w:rsid w:val="6AFBD4E9"/>
    <w:rsid w:val="6BFE087F"/>
    <w:rsid w:val="6BFF83C2"/>
    <w:rsid w:val="6C5F4E7D"/>
    <w:rsid w:val="6D3F2E98"/>
    <w:rsid w:val="6DFE07CC"/>
    <w:rsid w:val="6DFFB2B9"/>
    <w:rsid w:val="6EB43315"/>
    <w:rsid w:val="6ECB6C3E"/>
    <w:rsid w:val="6F3A9571"/>
    <w:rsid w:val="6FCDA027"/>
    <w:rsid w:val="6FDC8289"/>
    <w:rsid w:val="71FF8133"/>
    <w:rsid w:val="729DB731"/>
    <w:rsid w:val="732F9AB6"/>
    <w:rsid w:val="73A5D6F8"/>
    <w:rsid w:val="73C56AF0"/>
    <w:rsid w:val="74FD455A"/>
    <w:rsid w:val="75D907AF"/>
    <w:rsid w:val="763ED7FC"/>
    <w:rsid w:val="767F6AF6"/>
    <w:rsid w:val="767FBCC8"/>
    <w:rsid w:val="76FE24ED"/>
    <w:rsid w:val="77773C62"/>
    <w:rsid w:val="777F4630"/>
    <w:rsid w:val="77DF7EB6"/>
    <w:rsid w:val="77FABEEF"/>
    <w:rsid w:val="77FC8AD8"/>
    <w:rsid w:val="77FFC18C"/>
    <w:rsid w:val="77FFEDC5"/>
    <w:rsid w:val="78F52093"/>
    <w:rsid w:val="797F48DA"/>
    <w:rsid w:val="79CFCA19"/>
    <w:rsid w:val="7B2E7344"/>
    <w:rsid w:val="7B503CA9"/>
    <w:rsid w:val="7B5B4466"/>
    <w:rsid w:val="7B8DB0E0"/>
    <w:rsid w:val="7BD7C5D4"/>
    <w:rsid w:val="7BDE2E6D"/>
    <w:rsid w:val="7BFAEA32"/>
    <w:rsid w:val="7C9BB5BA"/>
    <w:rsid w:val="7CA5738C"/>
    <w:rsid w:val="7CFF2D90"/>
    <w:rsid w:val="7D629DCE"/>
    <w:rsid w:val="7D7E1C9B"/>
    <w:rsid w:val="7DAF9F6F"/>
    <w:rsid w:val="7DDF7761"/>
    <w:rsid w:val="7DDFEE83"/>
    <w:rsid w:val="7DFBA975"/>
    <w:rsid w:val="7E7F7957"/>
    <w:rsid w:val="7EBE6155"/>
    <w:rsid w:val="7F3BE6B0"/>
    <w:rsid w:val="7F3F94D5"/>
    <w:rsid w:val="7F3FC408"/>
    <w:rsid w:val="7F7AD461"/>
    <w:rsid w:val="7F9BB94C"/>
    <w:rsid w:val="7FB5D6F6"/>
    <w:rsid w:val="7FCD88E5"/>
    <w:rsid w:val="7FF59EC3"/>
    <w:rsid w:val="7FF9E7AB"/>
    <w:rsid w:val="7FFA4ACA"/>
    <w:rsid w:val="7FFF1AF0"/>
    <w:rsid w:val="7FFFFE22"/>
    <w:rsid w:val="923DB5D2"/>
    <w:rsid w:val="97EF9245"/>
    <w:rsid w:val="9B6FD390"/>
    <w:rsid w:val="9BFF5F19"/>
    <w:rsid w:val="9F75BF60"/>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DEF20CF"/>
    <w:rsid w:val="BEEF0D30"/>
    <w:rsid w:val="BEFF6650"/>
    <w:rsid w:val="BF7B23E6"/>
    <w:rsid w:val="BFBFE194"/>
    <w:rsid w:val="BFCFAEF2"/>
    <w:rsid w:val="BFD57FE1"/>
    <w:rsid w:val="BFEF3728"/>
    <w:rsid w:val="BFEF4CA0"/>
    <w:rsid w:val="BFFB7EB6"/>
    <w:rsid w:val="BFFEAB08"/>
    <w:rsid w:val="C2FFBE2F"/>
    <w:rsid w:val="CBBEBAC1"/>
    <w:rsid w:val="CDED7A5A"/>
    <w:rsid w:val="CDFD2304"/>
    <w:rsid w:val="CEFE275B"/>
    <w:rsid w:val="CF0B42D0"/>
    <w:rsid w:val="CF9E952C"/>
    <w:rsid w:val="CFFF3AA5"/>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7FF22D7"/>
    <w:rsid w:val="E8FF6CA0"/>
    <w:rsid w:val="EB6F6027"/>
    <w:rsid w:val="EBBD09D3"/>
    <w:rsid w:val="ECBFB19E"/>
    <w:rsid w:val="EF3D4EF9"/>
    <w:rsid w:val="EF7778AA"/>
    <w:rsid w:val="EFDB4341"/>
    <w:rsid w:val="EFDB7C9A"/>
    <w:rsid w:val="EFEF30CE"/>
    <w:rsid w:val="EFFD6B90"/>
    <w:rsid w:val="EFFF9813"/>
    <w:rsid w:val="F279611C"/>
    <w:rsid w:val="F3F77884"/>
    <w:rsid w:val="F51E3B23"/>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EE794A5"/>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 w:val="FFFF71D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8">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Date"/>
    <w:basedOn w:val="1"/>
    <w:next w:val="1"/>
    <w:qFormat/>
    <w:uiPriority w:val="0"/>
    <w:rPr>
      <w:rFonts w:eastAsia="楷体_GB2312" w:cs="Droid Sans"/>
      <w:sz w:val="32"/>
      <w:szCs w:val="20"/>
      <w:lang w:bidi="ar-SA"/>
    </w:rPr>
  </w:style>
  <w:style w:type="paragraph" w:styleId="4">
    <w:name w:val="Balloon Text"/>
    <w:basedOn w:val="1"/>
    <w:link w:val="10"/>
    <w:qFormat/>
    <w:uiPriority w:val="0"/>
    <w:rPr>
      <w:sz w:val="18"/>
      <w:szCs w:val="18"/>
    </w:rPr>
  </w:style>
  <w:style w:type="paragraph" w:styleId="5">
    <w:name w:val="footer"/>
    <w:basedOn w:val="1"/>
    <w:link w:val="11"/>
    <w:qFormat/>
    <w:uiPriority w:val="99"/>
    <w:pPr>
      <w:tabs>
        <w:tab w:val="center" w:pos="4153"/>
        <w:tab w:val="right" w:pos="8306"/>
      </w:tabs>
      <w:snapToGrid w:val="0"/>
      <w:jc w:val="left"/>
    </w:pPr>
    <w:rPr>
      <w:sz w:val="18"/>
      <w:szCs w:val="20"/>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0"/>
  </w:style>
  <w:style w:type="character" w:customStyle="1" w:styleId="10">
    <w:name w:val="批注框文本 Char"/>
    <w:link w:val="4"/>
    <w:qFormat/>
    <w:uiPriority w:val="0"/>
    <w:rPr>
      <w:rFonts w:ascii="Times New Roman" w:hAnsi="Times New Roman"/>
      <w:kern w:val="2"/>
      <w:sz w:val="18"/>
      <w:szCs w:val="18"/>
    </w:rPr>
  </w:style>
  <w:style w:type="character" w:customStyle="1" w:styleId="11">
    <w:name w:val="页脚 Char"/>
    <w:link w:val="5"/>
    <w:qFormat/>
    <w:uiPriority w:val="99"/>
    <w:rPr>
      <w:rFonts w:ascii="Times New Roman" w:hAnsi="Times New Roman"/>
      <w:kern w:val="2"/>
      <w:sz w:val="18"/>
    </w:rPr>
  </w:style>
  <w:style w:type="character" w:customStyle="1" w:styleId="12">
    <w:name w:val="页眉 Char"/>
    <w:link w:val="6"/>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6318\Desktop\20250221-&#21271;&#20140;&#24066;&#25945;&#32946;&#22996;&#21592;&#20250;&#20851;&#20110;&#20570;&#22909;2025&#24180;&#25152;&#23646;&#39044;&#31639;&#21333;&#20301;&#39044;&#31639;&#20844;&#24320;&#30456;&#20851;&#24037;&#20316;&#30340;&#36890;&#30693;\&#39044;&#31639;&#33609;&#26696;&#35828;&#26126;&#25968;&#25454;2025.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E:\&#39044;&#31639;&#31185;&#24037;&#20316;\6&#12289;&#24066;&#25945;&#22996;&#36130;&#25919;&#23616;&#36890;&#30693;\2025&#24180;\20250221-&#21271;&#20140;&#24066;&#25945;&#32946;&#22996;&#21592;&#20250;&#20851;&#20110;&#20570;&#22909;2025&#24180;&#25152;&#23646;&#39044;&#31639;&#21333;&#20301;&#39044;&#31639;&#20844;&#24320;&#30456;&#20851;&#24037;&#20316;&#30340;&#36890;&#30693;\&#39044;&#31639;&#33609;&#26696;&#35828;&#26126;&#25968;&#25454;202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forceAA="false"/>
          <a:lstStyle/>
          <a:p>
            <a:pPr>
              <a:defRPr lang="zh-CN" sz="1200" b="0" i="0" u="none" strike="noStrike" kern="1200" baseline="0">
                <a:solidFill>
                  <a:srgbClr val="404040">
                    <a:lumMod val="75000"/>
                    <a:lumOff val="25000"/>
                  </a:srgb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收入预算</a:t>
            </a:r>
          </a:p>
        </c:rich>
      </c:tx>
      <c:layout/>
      <c:overlay val="false"/>
      <c:spPr>
        <a:noFill/>
        <a:ln>
          <a:noFill/>
        </a:ln>
        <a:effectLst/>
      </c:spPr>
    </c:title>
    <c:autoTitleDeleted val="false"/>
    <c:plotArea>
      <c:layout/>
      <c:pieChart>
        <c:varyColors val="true"/>
        <c:ser>
          <c:idx val="0"/>
          <c:order val="0"/>
          <c:spPr>
            <a:ln w="22225">
              <a:solidFill>
                <a:srgbClr val="FFFFFF"/>
              </a:solidFill>
            </a:ln>
            <a:sp3d contourW="22225"/>
          </c:spPr>
          <c:explosion val="0"/>
          <c:dPt>
            <c:idx val="0"/>
            <c:bubble3D val="false"/>
            <c:spPr>
              <a:gradFill>
                <a:gsLst>
                  <a:gs pos="80000">
                    <a:srgbClr val="4F81BD"/>
                  </a:gs>
                  <a:gs pos="0">
                    <a:srgbClr val="4FB4BD">
                      <a:hueOff val="-1670000"/>
                    </a:srgbClr>
                  </a:gs>
                </a:gsLst>
                <a:lin ang="5400000" scaled="false"/>
              </a:gradFill>
              <a:ln w="22225">
                <a:solidFill>
                  <a:srgbClr val="FFFFFF"/>
                </a:solidFill>
              </a:ln>
              <a:effectLst/>
              <a:sp3d contourW="22225"/>
            </c:spPr>
          </c:dPt>
          <c:dPt>
            <c:idx val="1"/>
            <c:bubble3D val="false"/>
            <c:spPr>
              <a:gradFill>
                <a:gsLst>
                  <a:gs pos="80000">
                    <a:srgbClr val="C0504D"/>
                  </a:gs>
                  <a:gs pos="0">
                    <a:srgbClr val="C04D7F">
                      <a:hueOff val="-1670000"/>
                    </a:srgbClr>
                  </a:gs>
                </a:gsLst>
                <a:lin ang="5400000" scaled="false"/>
              </a:gradFill>
              <a:ln w="22225">
                <a:solidFill>
                  <a:srgbClr val="FFFFFF"/>
                </a:solidFill>
              </a:ln>
              <a:effectLst/>
              <a:sp3d contourW="22225"/>
            </c:spPr>
          </c:dPt>
          <c:dPt>
            <c:idx val="2"/>
            <c:bubble3D val="false"/>
            <c:spPr>
              <a:gradFill>
                <a:gsLst>
                  <a:gs pos="80000">
                    <a:srgbClr val="9BBB59"/>
                  </a:gs>
                  <a:gs pos="0">
                    <a:srgbClr val="BBAE59">
                      <a:hueOff val="-1670000"/>
                    </a:srgbClr>
                  </a:gs>
                </a:gsLst>
                <a:lin ang="5400000" scaled="false"/>
              </a:gradFill>
              <a:ln w="22225">
                <a:solidFill>
                  <a:srgbClr val="FFFFFF"/>
                </a:solidFill>
              </a:ln>
              <a:effectLst/>
              <a:sp3d contourW="22225"/>
            </c:spPr>
          </c:dPt>
          <c:dPt>
            <c:idx val="3"/>
            <c:bubble3D val="false"/>
            <c:spPr>
              <a:gradFill>
                <a:gsLst>
                  <a:gs pos="80000">
                    <a:srgbClr val="8064A2"/>
                  </a:gs>
                  <a:gs pos="0">
                    <a:srgbClr val="6465A2">
                      <a:hueOff val="-1670000"/>
                    </a:srgbClr>
                  </a:gs>
                </a:gsLst>
                <a:lin ang="5400000" scaled="false"/>
              </a:gradFill>
              <a:ln w="22225">
                <a:solidFill>
                  <a:srgbClr val="FFFFFF"/>
                </a:solidFill>
              </a:ln>
              <a:effectLst/>
              <a:sp3d contourW="22225"/>
            </c:spPr>
          </c:dPt>
          <c:dPt>
            <c:idx val="4"/>
            <c:bubble3D val="false"/>
            <c:spPr>
              <a:gradFill>
                <a:gsLst>
                  <a:gs pos="80000">
                    <a:srgbClr val="4BACC6"/>
                  </a:gs>
                  <a:gs pos="0">
                    <a:srgbClr val="4BC6A7">
                      <a:hueOff val="-1670000"/>
                    </a:srgbClr>
                  </a:gs>
                </a:gsLst>
                <a:lin ang="5400000" scaled="false"/>
              </a:gradFill>
              <a:ln w="22225">
                <a:solidFill>
                  <a:srgbClr val="FFFFFF"/>
                </a:solidFill>
              </a:ln>
              <a:effectLst/>
              <a:sp3d contourW="22225"/>
            </c:spPr>
          </c:dPt>
          <c:dLbls>
            <c:numFmt formatCode="General" sourceLinked="true"/>
            <c:spPr>
              <a:noFill/>
              <a:ln>
                <a:noFill/>
              </a:ln>
              <a:effectLst/>
            </c:spPr>
            <c:txPr>
              <a:bodyPr rot="0" spcFirstLastPara="0" vertOverflow="ellipsis" vert="horz" wrap="square" lIns="38100" tIns="19050" rIns="38100" bIns="19050" anchor="ctr" anchorCtr="true" forceAA="false"/>
              <a:lstStyle/>
              <a:p>
                <a:pPr>
                  <a:defRPr lang="zh-CN" sz="900" b="0" i="0" u="none" strike="noStrike" kern="1200" baseline="0">
                    <a:solidFill>
                      <a:srgbClr val="FFFFFF"/>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inEnd"/>
            <c:showLegendKey val="false"/>
            <c:showVal val="false"/>
            <c:showCatName val="false"/>
            <c:showSerName val="false"/>
            <c:showPercent val="true"/>
            <c:showBubbleSize val="false"/>
            <c:separator>
</c:separator>
            <c:showLeaderLines val="true"/>
            <c:extLst>
              <c:ext xmlns:c15="http://schemas.microsoft.com/office/drawing/2012/chart" uri="{CE6537A1-D6FC-4f65-9D91-7224C49458BB}">
                <c15:layout/>
                <c15:showLeaderLines val="true"/>
                <c15:leaderLines>
                  <c:spPr>
                    <a:ln w="9525">
                      <a:solidFill>
                        <a:srgbClr val="A6A6A6">
                          <a:lumMod val="35000"/>
                          <a:lumOff val="65000"/>
                        </a:srgbClr>
                      </a:solidFill>
                    </a:ln>
                    <a:effectLst/>
                  </c:spPr>
                </c15:leaderLines>
              </c:ext>
            </c:extLst>
          </c:dLbls>
          <c:cat>
            <c:strRef>
              <c:f>[预算草案说明数据2025.xlsx]收入图!$A$1:$A$5</c:f>
              <c:strCache>
                <c:ptCount val="5"/>
                <c:pt idx="0">
                  <c:v>财政拨款</c:v>
                </c:pt>
                <c:pt idx="1">
                  <c:v>财政专户管理资金收入</c:v>
                </c:pt>
                <c:pt idx="2">
                  <c:v>事业收入</c:v>
                </c:pt>
                <c:pt idx="3">
                  <c:v>其他收入</c:v>
                </c:pt>
                <c:pt idx="4">
                  <c:v>上年结转结余资金</c:v>
                </c:pt>
              </c:strCache>
            </c:strRef>
          </c:cat>
          <c:val>
            <c:numRef>
              <c:f>[预算草案说明数据2025.xlsx]收入图!$B$1:$B$5</c:f>
              <c:numCache>
                <c:formatCode>0.00_ </c:formatCode>
                <c:ptCount val="5"/>
                <c:pt idx="0">
                  <c:v>163104.72849</c:v>
                </c:pt>
                <c:pt idx="1">
                  <c:v>16531.553</c:v>
                </c:pt>
                <c:pt idx="2">
                  <c:v>38030</c:v>
                </c:pt>
                <c:pt idx="3">
                  <c:v>12870</c:v>
                </c:pt>
                <c:pt idx="4">
                  <c:v>66556.665881</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r"/>
      <c:layout/>
      <c:overlay val="false"/>
      <c:spPr>
        <a:noFill/>
        <a:ln>
          <a:noFill/>
        </a:ln>
        <a:effectLst/>
      </c:spPr>
      <c:txPr>
        <a:bodyPr rot="0" spcFirstLastPara="0" vertOverflow="ellipsis" vert="horz" wrap="square" anchor="ctr" anchorCtr="true"/>
        <a:lstStyle/>
        <a:p>
          <a:pPr>
            <a:defRPr lang="zh-CN" sz="900" b="0" i="0" u="none" strike="noStrike" kern="1200" baseline="0">
              <a:solidFill>
                <a:srgbClr val="595959">
                  <a:lumMod val="65000"/>
                  <a:lumOff val="35000"/>
                </a:srgb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true"/>
    <c:dispBlanksAs val="gap"/>
    <c:showDLblsOverMax val="false"/>
  </c:chart>
  <c:spPr>
    <a:solidFill>
      <a:srgbClr val="FFFFFF"/>
    </a:solidFill>
    <a:ln w="6350" cap="flat" cmpd="sng" algn="ctr">
      <a:solidFill>
        <a:srgbClr val="808080">
          <a:lumMod val="50000"/>
          <a:lumOff val="50000"/>
          <a:alpha val="25000"/>
        </a:srgbClr>
      </a:solidFill>
      <a:round/>
    </a:ln>
    <a:effectLst/>
  </c:spPr>
  <c:txPr>
    <a:bodyPr/>
    <a:lstStyle/>
    <a:p>
      <a:pPr>
        <a:defRPr lang="zh-CN" sz="900">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pieChart>
        <c:varyColors val="true"/>
        <c:ser>
          <c:idx val="0"/>
          <c:order val="0"/>
          <c:spPr>
            <a:ln w="22225">
              <a:solidFill>
                <a:srgbClr val="FFFFFF"/>
              </a:solidFill>
            </a:ln>
            <a:sp3d contourW="22225"/>
          </c:spPr>
          <c:explosion val="0"/>
          <c:dPt>
            <c:idx val="0"/>
            <c:bubble3D val="false"/>
            <c:spPr>
              <a:gradFill>
                <a:gsLst>
                  <a:gs pos="80000">
                    <a:srgbClr val="4F81BD"/>
                  </a:gs>
                  <a:gs pos="0">
                    <a:srgbClr val="4FB4BD">
                      <a:hueOff val="-1670000"/>
                    </a:srgbClr>
                  </a:gs>
                </a:gsLst>
                <a:lin ang="5400000" scaled="false"/>
              </a:gradFill>
              <a:ln w="22225">
                <a:solidFill>
                  <a:srgbClr val="FFFFFF"/>
                </a:solidFill>
              </a:ln>
              <a:effectLst/>
              <a:sp3d contourW="22225"/>
            </c:spPr>
          </c:dPt>
          <c:dPt>
            <c:idx val="1"/>
            <c:bubble3D val="false"/>
            <c:spPr>
              <a:gradFill>
                <a:gsLst>
                  <a:gs pos="80000">
                    <a:srgbClr val="C0504D"/>
                  </a:gs>
                  <a:gs pos="0">
                    <a:srgbClr val="C04D7F">
                      <a:hueOff val="-1670000"/>
                    </a:srgbClr>
                  </a:gs>
                </a:gsLst>
                <a:lin ang="5400000" scaled="false"/>
              </a:gradFill>
              <a:ln w="22225">
                <a:solidFill>
                  <a:srgbClr val="FFFFFF"/>
                </a:solidFill>
              </a:ln>
              <a:effectLst/>
              <a:sp3d contourW="22225"/>
            </c:spPr>
          </c:dPt>
          <c:dLbls>
            <c:dLbl>
              <c:idx val="0"/>
              <c:layout/>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rgbClr val="404040">
                          <a:lumMod val="75000"/>
                          <a:lumOff val="25000"/>
                        </a:srgb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bestFit"/>
              <c:showLegendKey val="false"/>
              <c:showVal val="false"/>
              <c:showCatName val="false"/>
              <c:showSerName val="false"/>
              <c:showPercent val="true"/>
              <c:showBubbleSize val="false"/>
              <c:extLst>
                <c:ext xmlns:c15="http://schemas.microsoft.com/office/drawing/2012/chart" uri="{CE6537A1-D6FC-4f65-9D91-7224C49458BB}"/>
              </c:extLst>
            </c:dLbl>
            <c:dLbl>
              <c:idx val="1"/>
              <c:layout/>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rgbClr val="404040">
                          <a:lumMod val="75000"/>
                          <a:lumOff val="25000"/>
                        </a:srgb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bestFit"/>
              <c:showLegendKey val="false"/>
              <c:showVal val="false"/>
              <c:showCatName val="false"/>
              <c:showSerName val="false"/>
              <c:showPercent val="true"/>
              <c:showBubbleSize val="false"/>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rgbClr val="404040">
                        <a:lumMod val="75000"/>
                        <a:lumOff val="25000"/>
                      </a:srgb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a:solidFill>
                        <a:srgbClr val="A6A6A6">
                          <a:lumMod val="35000"/>
                          <a:lumOff val="65000"/>
                        </a:srgbClr>
                      </a:solidFill>
                    </a:ln>
                    <a:effectLst/>
                  </c:spPr>
                </c15:leaderLines>
              </c:ext>
            </c:extLst>
          </c:dLbls>
          <c:cat>
            <c:strRef>
              <c:f>[预算草案说明数据2025.xlsx]支出图!$A$1:$A$2</c:f>
              <c:strCache>
                <c:ptCount val="2"/>
                <c:pt idx="0">
                  <c:v>基本支出预算</c:v>
                </c:pt>
                <c:pt idx="1">
                  <c:v>项目支出预算</c:v>
                </c:pt>
              </c:strCache>
            </c:strRef>
          </c:cat>
          <c:val>
            <c:numRef>
              <c:f>[预算草案说明数据2025.xlsx]支出图!$B$1:$B$2</c:f>
              <c:numCache>
                <c:formatCode>0.00_ </c:formatCode>
                <c:ptCount val="2"/>
                <c:pt idx="0">
                  <c:v>236947.968513</c:v>
                </c:pt>
                <c:pt idx="1">
                  <c:v>30144.978858</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rgbClr val="595959">
                  <a:lumMod val="65000"/>
                  <a:lumOff val="35000"/>
                </a:srgb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true"/>
    <c:dispBlanksAs val="gap"/>
    <c:showDLblsOverMax val="false"/>
  </c:chart>
  <c:spPr>
    <a:solidFill>
      <a:srgbClr val="FFFFFF"/>
    </a:solidFill>
    <a:ln w="6350" cap="flat" cmpd="sng" algn="ctr">
      <a:solidFill>
        <a:srgbClr val="808080">
          <a:lumMod val="50000"/>
          <a:lumOff val="50000"/>
          <a:alpha val="25000"/>
        </a:srgbClr>
      </a:solidFill>
      <a:round/>
    </a:ln>
    <a:effectLst/>
  </c:spPr>
  <c:txPr>
    <a:bodyPr/>
    <a:lstStyle/>
    <a:p>
      <a:pPr>
        <a:defRPr lang="zh-CN" sz="900">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8">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5F5F5">
          <a:lumMod val="96000"/>
        </a:srgbClr>
      </a:solidFill>
      <a:ln w="9525" cap="flat" cmpd="sng" algn="ctr">
        <a:solidFill>
          <a:srgbClr val="D9D9D9">
            <a:lumMod val="15000"/>
            <a:lumOff val="85000"/>
          </a:srgbClr>
        </a:solidFill>
        <a:round/>
      </a:ln>
    </cs:spPr>
    <cs:defRPr sz="10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0">
      <cs:styleClr val="auto"/>
    </cs:fillRef>
    <cs:effectRef idx="0"/>
    <cs:fontRef idx="minor">
      <a:srgbClr val="000000"/>
    </cs:fontRef>
    <cs:spPr>
      <a:gradFill>
        <a:gsLst>
          <a:gs pos="100000">
            <a:srgbClr val="FFFFFF"/>
          </a:gs>
          <a:gs pos="0">
            <a:srgbClr val="FFFFFF">
              <a:hueOff val="-1670000"/>
            </a:srgbClr>
          </a:gs>
        </a:gsLst>
        <a:lin ang="5400000" scaled="false"/>
      </a:gradFill>
      <a:ln>
        <a:gradFill>
          <a:gsLst>
            <a:gs pos="100000">
              <a:srgbClr val="BFBFBF">
                <a:lumMod val="75000"/>
              </a:srgbClr>
            </a:gs>
            <a:gs pos="0">
              <a:srgbClr val="BFBFBF">
                <a:lumMod val="75000"/>
                <a:hueOff val="-1670000"/>
              </a:srgbClr>
            </a:gs>
          </a:gsLst>
          <a:lin ang="4620000" scaled="false"/>
        </a:gradFill>
      </a:ln>
      <a:effectLst/>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a:solidFill>
          <a:srgbClr val="A6A6A6">
            <a:lumMod val="35000"/>
            <a:lumOff val="65000"/>
          </a:srgbClr>
        </a:solidFill>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a:solidFill>
          <a:srgbClr val="404040">
            <a:lumMod val="75000"/>
            <a:lumOff val="25000"/>
          </a:srgbClr>
        </a:solidFill>
      </a:ln>
    </cs:spPr>
  </cs:hiLoLine>
  <cs:leaderLine>
    <cs:lnRef idx="0"/>
    <cs:fillRef idx="0"/>
    <cs:effectRef idx="0"/>
    <cs:fontRef idx="minor">
      <a:srgbClr val="000000"/>
    </cs:fontRef>
    <cs:spPr>
      <a:ln w="9525">
        <a:solidFill>
          <a:srgbClr val="A6A6A6">
            <a:lumMod val="35000"/>
            <a:lumOff val="65000"/>
          </a:srgbClr>
        </a:solidFill>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a:solidFill>
          <a:srgbClr val="A6A6A6">
            <a:lumMod val="35000"/>
            <a:lumOff val="65000"/>
          </a:srgbClr>
        </a:solidFill>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2.xml><?xml version="1.0" encoding="utf-8"?>
<cs:chartStyle xmlns:cs="http://schemas.microsoft.com/office/drawing/2012/chartStyle" xmlns:a="http://schemas.openxmlformats.org/drawingml/2006/main" id="10088">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5F5F5">
          <a:lumMod val="96000"/>
        </a:srgbClr>
      </a:solidFill>
      <a:ln w="9525" cap="flat" cmpd="sng" algn="ctr">
        <a:solidFill>
          <a:srgbClr val="D9D9D9">
            <a:lumMod val="15000"/>
            <a:lumOff val="85000"/>
          </a:srgbClr>
        </a:solidFill>
        <a:round/>
      </a:ln>
    </cs:spPr>
    <cs:defRPr sz="10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0">
      <cs:styleClr val="auto"/>
    </cs:fillRef>
    <cs:effectRef idx="0"/>
    <cs:fontRef idx="minor">
      <a:srgbClr val="000000"/>
    </cs:fontRef>
    <cs:spPr>
      <a:gradFill>
        <a:gsLst>
          <a:gs pos="100000">
            <a:srgbClr val="FFFFFF"/>
          </a:gs>
          <a:gs pos="0">
            <a:srgbClr val="FFFFFF">
              <a:hueOff val="-1670000"/>
            </a:srgbClr>
          </a:gs>
        </a:gsLst>
        <a:lin ang="5400000" scaled="false"/>
      </a:gradFill>
      <a:ln>
        <a:gradFill>
          <a:gsLst>
            <a:gs pos="100000">
              <a:srgbClr val="BFBFBF">
                <a:lumMod val="75000"/>
              </a:srgbClr>
            </a:gs>
            <a:gs pos="0">
              <a:srgbClr val="BFBFBF">
                <a:lumMod val="75000"/>
                <a:hueOff val="-1670000"/>
              </a:srgbClr>
            </a:gs>
          </a:gsLst>
          <a:lin ang="4620000" scaled="false"/>
        </a:gradFill>
      </a:ln>
      <a:effectLst/>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a:solidFill>
          <a:srgbClr val="A6A6A6">
            <a:lumMod val="35000"/>
            <a:lumOff val="65000"/>
          </a:srgbClr>
        </a:solidFill>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a:solidFill>
          <a:srgbClr val="404040">
            <a:lumMod val="75000"/>
            <a:lumOff val="25000"/>
          </a:srgbClr>
        </a:solidFill>
      </a:ln>
    </cs:spPr>
  </cs:hiLoLine>
  <cs:leaderLine>
    <cs:lnRef idx="0"/>
    <cs:fillRef idx="0"/>
    <cs:effectRef idx="0"/>
    <cs:fontRef idx="minor">
      <a:srgbClr val="000000"/>
    </cs:fontRef>
    <cs:spPr>
      <a:ln w="9525">
        <a:solidFill>
          <a:srgbClr val="A6A6A6">
            <a:lumMod val="35000"/>
            <a:lumOff val="65000"/>
          </a:srgbClr>
        </a:solidFill>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a:solidFill>
          <a:srgbClr val="A6A6A6">
            <a:lumMod val="35000"/>
            <a:lumOff val="65000"/>
          </a:srgbClr>
        </a:solidFill>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11</Pages>
  <Words>3649</Words>
  <Characters>4098</Characters>
  <Lines>108</Lines>
  <Paragraphs>30</Paragraphs>
  <TotalTime>68</TotalTime>
  <ScaleCrop>false</ScaleCrop>
  <LinksUpToDate>false</LinksUpToDate>
  <CharactersWithSpaces>4126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2022-02-10T09:48:00Z</dcterms:created>
  <dc:creator>马荣丽</dc:creator>
  <cp:lastModifiedBy>18500299229</cp:lastModifiedBy>
  <cp:lastPrinted>2025-02-06T17:19:00Z</cp:lastPrinted>
  <dcterms:modified xsi:type="dcterms:W3CDTF">2025-03-05T15:02:06Z</dcterms:modified>
  <dc:title>处领导：</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2B474A39AA79472CA9F78B67F930CB2D_13</vt:lpwstr>
  </property>
  <property fmtid="{D5CDD505-2E9C-101B-9397-08002B2CF9AE}" pid="4" name="KSOTemplateDocerSaveRecord">
    <vt:lpwstr>eyJoZGlkIjoiY2VlZjZlYjFmZTJiY2ZkOGE3OTMyNDNlZjIwOGU0MDQiLCJ1c2VySWQiOiIzMzEyMzIxMDQifQ==</vt:lpwstr>
  </property>
</Properties>
</file>