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51AFE">
      <w:pPr>
        <w:pStyle w:val="2"/>
        <w:spacing w:line="240" w:lineRule="exact"/>
        <w:rPr>
          <w:rFonts w:hint="eastAsia" w:ascii="Cambria" w:eastAsia="黑体"/>
          <w:color w:val="auto"/>
          <w:sz w:val="36"/>
          <w:u w:val="none"/>
        </w:rPr>
      </w:pPr>
    </w:p>
    <w:p w14:paraId="60779031">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北京农学院2025年度单位</w:t>
      </w:r>
      <w:r>
        <w:rPr>
          <w:rFonts w:hint="eastAsia" w:ascii="方正小标宋简体" w:eastAsia="方正小标宋简体"/>
          <w:color w:val="000000"/>
          <w:sz w:val="44"/>
          <w:szCs w:val="44"/>
          <w:u w:val="none"/>
        </w:rPr>
        <w:t>预算信息公开</w:t>
      </w:r>
    </w:p>
    <w:p w14:paraId="712FC03F">
      <w:pPr>
        <w:spacing w:line="240" w:lineRule="exact"/>
        <w:jc w:val="center"/>
        <w:rPr>
          <w:rFonts w:hint="eastAsia" w:ascii="方正小标宋简体" w:eastAsia="方正小标宋简体"/>
          <w:color w:val="000000"/>
          <w:sz w:val="32"/>
          <w:szCs w:val="32"/>
          <w:u w:val="none"/>
        </w:rPr>
      </w:pPr>
    </w:p>
    <w:p w14:paraId="07C594EA">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363B9101">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14:paraId="1671DD0E">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7B135E32">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00C36DE1">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2B20FB2F">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7892AAC2">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221D1551">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0B4BEC47">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14:paraId="7AC74E47">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3B9816DC">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14:paraId="73BD793E">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77784289">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642F61BB">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40A57AC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517F82FA">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14:paraId="74C7EE56">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48EA588B">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5335A205">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5DA0B77E">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4592C37F">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14:paraId="443B630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1011852F">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14:paraId="048BA6EC">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3F056CBA">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2E5D5D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color w:val="auto"/>
          <w:sz w:val="32"/>
          <w:szCs w:val="32"/>
          <w:lang w:eastAsia="zh-CN"/>
        </w:rPr>
        <w:t>北京农学院</w:t>
      </w:r>
      <w:r>
        <w:rPr>
          <w:rFonts w:hint="eastAsia" w:ascii="仿宋_GB2312" w:eastAsia="仿宋_GB2312"/>
          <w:color w:val="auto"/>
          <w:sz w:val="32"/>
          <w:szCs w:val="32"/>
        </w:rPr>
        <w:t>为</w:t>
      </w:r>
      <w:r>
        <w:rPr>
          <w:rFonts w:hint="eastAsia" w:ascii="仿宋_GB2312" w:eastAsia="仿宋_GB2312"/>
          <w:sz w:val="32"/>
          <w:szCs w:val="32"/>
        </w:rPr>
        <w:t>公益二类</w:t>
      </w:r>
      <w:r>
        <w:rPr>
          <w:rFonts w:hint="eastAsia" w:ascii="仿宋_GB2312" w:eastAsia="仿宋_GB2312"/>
          <w:color w:val="auto"/>
          <w:sz w:val="32"/>
          <w:szCs w:val="32"/>
        </w:rPr>
        <w:t>事业单位，主要职责</w:t>
      </w:r>
      <w:r>
        <w:rPr>
          <w:rFonts w:hint="eastAsia" w:ascii="仿宋_GB2312" w:eastAsia="仿宋_GB2312"/>
          <w:sz w:val="32"/>
          <w:szCs w:val="32"/>
        </w:rPr>
        <w:t>为培养具有创新精神和创业能力的复合型、实用性的技术人才、经营人才和管理人才；为北京郊区现代化建设服务；开展农、工、经、管、法、文理等学科专业的本专科、研究生教育和职业技术教育、继续教育、证书技能培训；开展科学研究和成果转化，技术推广等服务“三农”工作；开展国内外合作办学、学术交流、项目开发等工作。</w:t>
      </w:r>
    </w:p>
    <w:p w14:paraId="65AD017B">
      <w:pPr>
        <w:spacing w:line="560" w:lineRule="exact"/>
        <w:ind w:firstLine="640" w:firstLineChars="200"/>
        <w:rPr>
          <w:rFonts w:hint="eastAsia" w:ascii="仿宋_GB2312" w:eastAsia="仿宋_GB2312"/>
          <w:color w:val="1F3864"/>
          <w:sz w:val="24"/>
        </w:rPr>
      </w:pPr>
      <w:r>
        <w:rPr>
          <w:rFonts w:hint="eastAsia" w:ascii="楷体_GB2312" w:eastAsia="楷体_GB2312"/>
          <w:color w:val="000000"/>
          <w:sz w:val="32"/>
          <w:szCs w:val="32"/>
          <w:u w:val="none"/>
        </w:rPr>
        <w:t>（二）机构设置情况</w:t>
      </w:r>
    </w:p>
    <w:p w14:paraId="21CC7D02">
      <w:pPr>
        <w:spacing w:line="560" w:lineRule="exact"/>
        <w:ind w:firstLine="640" w:firstLineChars="200"/>
        <w:rPr>
          <w:rFonts w:hint="eastAsia" w:ascii="仿宋_GB2312" w:eastAsia="仿宋_GB2312"/>
          <w:color w:val="1F3864"/>
          <w:sz w:val="24"/>
        </w:rPr>
      </w:pPr>
      <w:r>
        <w:rPr>
          <w:rFonts w:hint="eastAsia" w:ascii="仿宋_GB2312" w:eastAsia="仿宋_GB2312"/>
          <w:color w:val="auto"/>
          <w:sz w:val="32"/>
          <w:szCs w:val="32"/>
          <w:lang w:eastAsia="zh-CN"/>
        </w:rPr>
        <w:t>北京农学院</w:t>
      </w:r>
      <w:r>
        <w:rPr>
          <w:rFonts w:hint="eastAsia" w:ascii="仿宋_GB2312" w:eastAsia="仿宋_GB2312"/>
          <w:color w:val="auto"/>
          <w:sz w:val="32"/>
          <w:szCs w:val="32"/>
        </w:rPr>
        <w:t>内设</w:t>
      </w:r>
      <w:r>
        <w:rPr>
          <w:rFonts w:hint="eastAsia" w:ascii="仿宋_GB2312" w:eastAsia="仿宋_GB2312"/>
          <w:sz w:val="32"/>
          <w:szCs w:val="32"/>
        </w:rPr>
        <w:t>37</w:t>
      </w:r>
      <w:r>
        <w:rPr>
          <w:rFonts w:hint="eastAsia" w:ascii="仿宋_GB2312" w:eastAsia="仿宋_GB2312"/>
          <w:color w:val="auto"/>
          <w:sz w:val="32"/>
          <w:szCs w:val="32"/>
        </w:rPr>
        <w:t>个机构，分别为</w:t>
      </w:r>
      <w:r>
        <w:rPr>
          <w:rFonts w:hint="eastAsia" w:ascii="仿宋_GB2312" w:eastAsia="仿宋_GB2312"/>
          <w:sz w:val="32"/>
          <w:szCs w:val="32"/>
        </w:rPr>
        <w:t>：</w:t>
      </w:r>
      <w:r>
        <w:rPr>
          <w:rFonts w:hint="eastAsia" w:ascii="仿宋_GB2312" w:eastAsia="仿宋_GB2312"/>
          <w:sz w:val="32"/>
        </w:rPr>
        <w:t>党政办公室(党委巡察办公室)、党委组织部（党委统战部、党校）、党委宣传部、纪检监察办公室、党委教师工作部（人事处）、党委学生工作部（党委武装部、学生处）、党委安全稳定工作部（安全稳定工作处）、教务处、研究生院、科学技术处、社会服务处、资产与实验室管理处、财务处、后勤基建处、审计处、离退休工作处、国际合作与交流处（港澳台办公室）、校办产业处18个党政管理机构，工会、团委2个群团组织，生物与资源环境学院、植物科学技术学院、动物科学技术学院、经济管理学院、园林学院、食品科学与工程学院、智能科学与工程学院、文法与城乡发展学院、国际学院、马克思主义学院、继续教育学院（乡村振兴学院）、基础教学部、外语教学部、体育教学部14个院部，网络与信息中心、图书馆(档案馆)、校医院3个教辅单位。</w:t>
      </w:r>
    </w:p>
    <w:p w14:paraId="559F1902">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3C863B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u w:val="none"/>
          <w:lang w:eastAsia="zh-CN"/>
        </w:rPr>
        <w:t>北京农学院</w:t>
      </w:r>
      <w:r>
        <w:rPr>
          <w:rFonts w:hint="eastAsia" w:ascii="仿宋_GB2312" w:eastAsia="仿宋_GB2312"/>
          <w:color w:val="000000"/>
          <w:sz w:val="32"/>
          <w:szCs w:val="32"/>
          <w:u w:val="none"/>
        </w:rPr>
        <w:t>行政编制</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人，实际</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人；事业编制843人，实际789人</w:t>
      </w:r>
      <w:r>
        <w:rPr>
          <w:rFonts w:hint="eastAsia" w:ascii="仿宋_GB2312" w:eastAsia="仿宋_GB2312"/>
          <w:color w:val="000000"/>
          <w:sz w:val="32"/>
          <w:szCs w:val="32"/>
          <w:u w:val="none"/>
          <w:lang w:eastAsia="zh-CN"/>
        </w:rPr>
        <w:t>；</w:t>
      </w:r>
      <w:bookmarkStart w:id="0" w:name="_GoBack"/>
      <w:bookmarkEnd w:id="0"/>
      <w:r>
        <w:rPr>
          <w:rFonts w:hint="eastAsia" w:ascii="仿宋_GB2312" w:hAnsi="Times New Roman" w:eastAsia="仿宋_GB2312" w:cs="等线"/>
          <w:sz w:val="32"/>
          <w:szCs w:val="32"/>
        </w:rPr>
        <w:t>聘用人员（其他聘用人员--临时工）0人</w:t>
      </w:r>
      <w:r>
        <w:rPr>
          <w:rFonts w:hint="eastAsia" w:ascii="仿宋_GB2312" w:eastAsia="仿宋_GB2312" w:cs="等线"/>
          <w:sz w:val="32"/>
          <w:szCs w:val="32"/>
          <w:lang w:eastAsia="zh-CN"/>
        </w:rPr>
        <w:t>；</w:t>
      </w:r>
      <w:r>
        <w:rPr>
          <w:rFonts w:hint="eastAsia" w:ascii="仿宋_GB2312" w:eastAsia="仿宋_GB2312"/>
          <w:color w:val="000000"/>
          <w:sz w:val="32"/>
          <w:szCs w:val="32"/>
        </w:rPr>
        <w:t>离退休人员</w:t>
      </w:r>
      <w:r>
        <w:rPr>
          <w:rFonts w:hint="eastAsia" w:ascii="仿宋_GB2312" w:eastAsia="仿宋_GB2312"/>
          <w:color w:val="000000"/>
          <w:sz w:val="32"/>
          <w:szCs w:val="32"/>
          <w:lang w:val="en-US" w:eastAsia="zh-CN"/>
        </w:rPr>
        <w:t>467</w:t>
      </w:r>
      <w:r>
        <w:rPr>
          <w:rFonts w:hint="eastAsia" w:ascii="仿宋_GB2312" w:eastAsia="仿宋_GB2312"/>
          <w:color w:val="000000"/>
          <w:sz w:val="32"/>
          <w:szCs w:val="32"/>
        </w:rPr>
        <w:t>人，其中:离休4人，退休4</w:t>
      </w:r>
      <w:r>
        <w:rPr>
          <w:rFonts w:hint="eastAsia" w:ascii="仿宋_GB2312" w:eastAsia="仿宋_GB2312"/>
          <w:color w:val="000000"/>
          <w:sz w:val="32"/>
          <w:szCs w:val="32"/>
          <w:lang w:val="en-US" w:eastAsia="zh-CN"/>
        </w:rPr>
        <w:t>63</w:t>
      </w:r>
      <w:r>
        <w:rPr>
          <w:rFonts w:hint="eastAsia" w:ascii="仿宋_GB2312" w:eastAsia="仿宋_GB2312"/>
          <w:color w:val="000000"/>
          <w:sz w:val="32"/>
          <w:szCs w:val="32"/>
        </w:rPr>
        <w:t>人。</w:t>
      </w:r>
    </w:p>
    <w:p w14:paraId="69386C9D">
      <w:pPr>
        <w:numPr>
          <w:ilvl w:val="0"/>
          <w:numId w:val="1"/>
        </w:num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0BF5E653">
      <w:pPr>
        <w:numPr>
          <w:ilvl w:val="0"/>
          <w:numId w:val="0"/>
        </w:numPr>
        <w:spacing w:line="560" w:lineRule="exact"/>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s="Droid Sans"/>
          <w:color w:val="auto"/>
          <w:sz w:val="32"/>
          <w:szCs w:val="32"/>
          <w:u w:val="none"/>
          <w:lang w:val="en-US" w:eastAsia="zh-CN"/>
        </w:rPr>
        <w:t>2025年度收入预算</w:t>
      </w:r>
      <w:r>
        <w:rPr>
          <w:rFonts w:hint="eastAsia" w:ascii="仿宋_GB2312" w:eastAsia="仿宋_GB2312" w:cs="Droid Sans"/>
          <w:color w:val="auto"/>
          <w:sz w:val="32"/>
          <w:szCs w:val="32"/>
          <w:u w:val="none"/>
        </w:rPr>
        <w:t>90855.85万元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79441.19万元增加11414.66万元，增长14.37%。</w:t>
      </w:r>
      <w:r>
        <w:rPr>
          <w:rFonts w:hint="eastAsia" w:ascii="仿宋_GB2312" w:eastAsia="仿宋_GB2312"/>
          <w:color w:val="auto"/>
          <w:sz w:val="32"/>
          <w:szCs w:val="32"/>
          <w:highlight w:val="none"/>
          <w:u w:val="none"/>
          <w:lang w:eastAsia="zh-CN"/>
        </w:rPr>
        <w:t>主要原因是按照全口径预算管理要求，为进一步加强非财政拨款资金管理，北京农学院将所有非财政拨款资金全部纳入年度预算管理。</w:t>
      </w:r>
    </w:p>
    <w:p w14:paraId="532CFC2B">
      <w:pPr>
        <w:spacing w:line="560" w:lineRule="exact"/>
        <w:ind w:firstLine="640" w:firstLineChars="200"/>
        <w:rPr>
          <w:rFonts w:hint="eastAsia" w:ascii="楷体_GB2312" w:eastAsia="楷体_GB2312"/>
          <w:color w:val="auto"/>
          <w:sz w:val="32"/>
          <w:szCs w:val="32"/>
          <w:highlight w:val="none"/>
          <w:u w:val="none"/>
          <w:lang w:eastAsia="zh-CN"/>
        </w:rPr>
      </w:pPr>
      <w:r>
        <w:rPr>
          <w:rFonts w:hint="eastAsia" w:ascii="楷体_GB2312" w:eastAsia="楷体_GB2312"/>
          <w:color w:val="auto"/>
          <w:sz w:val="32"/>
          <w:szCs w:val="32"/>
          <w:highlight w:val="none"/>
          <w:u w:val="none"/>
        </w:rPr>
        <w:t>（一）</w:t>
      </w:r>
      <w:r>
        <w:rPr>
          <w:rFonts w:hint="eastAsia" w:ascii="楷体_GB2312" w:eastAsia="楷体_GB2312"/>
          <w:color w:val="auto"/>
          <w:sz w:val="32"/>
          <w:szCs w:val="32"/>
          <w:highlight w:val="none"/>
          <w:u w:val="none"/>
          <w:lang w:eastAsia="zh-CN"/>
        </w:rPr>
        <w:t>本年财政拨款收入53409.06万元</w:t>
      </w:r>
    </w:p>
    <w:p w14:paraId="74A109D0">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cs="Droid Sans"/>
          <w:color w:val="auto"/>
          <w:sz w:val="32"/>
          <w:szCs w:val="32"/>
          <w:u w:val="none"/>
        </w:rPr>
        <w:t>53409.06万元。</w:t>
      </w:r>
    </w:p>
    <w:p w14:paraId="03FFDAD4">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03121439">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12189FD4">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收入23184.96万元</w:t>
      </w:r>
    </w:p>
    <w:p w14:paraId="611A4D0C">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rPr>
        <w:t>4082.53万元。</w:t>
      </w:r>
    </w:p>
    <w:p w14:paraId="57D8E0F3">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rPr>
        <w:t>11954.17万元。</w:t>
      </w:r>
    </w:p>
    <w:p w14:paraId="7A8ADDFE">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w:t>
      </w:r>
      <w:r>
        <w:rPr>
          <w:rFonts w:hint="eastAsia" w:ascii="仿宋_GB2312" w:eastAsia="仿宋_GB2312" w:cs="Droid Sans"/>
          <w:color w:val="auto"/>
          <w:sz w:val="32"/>
          <w:szCs w:val="32"/>
          <w:u w:val="none"/>
        </w:rPr>
        <w:t>万元。</w:t>
      </w:r>
    </w:p>
    <w:p w14:paraId="79D03368">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w:t>
      </w:r>
      <w:r>
        <w:rPr>
          <w:rFonts w:hint="eastAsia" w:ascii="仿宋_GB2312" w:eastAsia="仿宋_GB2312" w:cs="Droid Sans"/>
          <w:color w:val="auto"/>
          <w:sz w:val="32"/>
          <w:szCs w:val="32"/>
          <w:u w:val="none"/>
        </w:rPr>
        <w:t>万元。</w:t>
      </w:r>
    </w:p>
    <w:p w14:paraId="530F92C9">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w:t>
      </w:r>
      <w:r>
        <w:rPr>
          <w:rFonts w:hint="eastAsia" w:ascii="仿宋_GB2312" w:eastAsia="仿宋_GB2312" w:cs="Droid Sans"/>
          <w:color w:val="auto"/>
          <w:sz w:val="32"/>
          <w:szCs w:val="32"/>
          <w:u w:val="none"/>
        </w:rPr>
        <w:t>3224.00万元。</w:t>
      </w:r>
    </w:p>
    <w:p w14:paraId="1C94ED0B">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rPr>
        <w:t>3924.26万元。</w:t>
      </w:r>
    </w:p>
    <w:p w14:paraId="5D57452A">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14261.8</w:t>
      </w:r>
      <w:r>
        <w:rPr>
          <w:rFonts w:hint="eastAsia" w:ascii="楷体_GB2312" w:eastAsia="楷体_GB2312" w:cs="Droid Sans"/>
          <w:color w:val="auto"/>
          <w:sz w:val="32"/>
          <w:szCs w:val="32"/>
          <w:u w:val="none"/>
          <w:lang w:val="en-US" w:eastAsia="zh-CN"/>
        </w:rPr>
        <w:t>3</w:t>
      </w:r>
      <w:r>
        <w:rPr>
          <w:rFonts w:hint="eastAsia" w:ascii="楷体_GB2312" w:eastAsia="楷体_GB2312" w:cs="Droid Sans"/>
          <w:color w:val="auto"/>
          <w:sz w:val="32"/>
          <w:szCs w:val="32"/>
          <w:u w:val="none"/>
          <w:lang w:eastAsia="zh-CN"/>
        </w:rPr>
        <w:t>万元</w:t>
      </w:r>
    </w:p>
    <w:p w14:paraId="03986494">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rPr>
        <w:t>14261.8</w:t>
      </w:r>
      <w:r>
        <w:rPr>
          <w:rFonts w:hint="eastAsia" w:ascii="仿宋_GB2312" w:eastAsia="仿宋_GB2312" w:cs="Droid Sans"/>
          <w:color w:val="auto"/>
          <w:sz w:val="32"/>
          <w:szCs w:val="32"/>
          <w:u w:val="none"/>
          <w:lang w:val="en-US" w:eastAsia="zh-CN"/>
        </w:rPr>
        <w:t>3</w:t>
      </w:r>
      <w:r>
        <w:rPr>
          <w:rFonts w:hint="eastAsia" w:ascii="仿宋_GB2312" w:eastAsia="仿宋_GB2312" w:cs="Droid Sans"/>
          <w:color w:val="auto"/>
          <w:sz w:val="32"/>
          <w:szCs w:val="32"/>
          <w:u w:val="none"/>
        </w:rPr>
        <w:t>万元。</w:t>
      </w:r>
    </w:p>
    <w:p w14:paraId="6763EB0D">
      <w:pPr>
        <w:pStyle w:val="2"/>
        <w:jc w:val="center"/>
        <w:rPr>
          <w:u w:val="none"/>
        </w:rPr>
      </w:pPr>
      <w:r>
        <w:drawing>
          <wp:inline distT="0" distB="0" distL="114300" distR="114300">
            <wp:extent cx="4895850" cy="2800350"/>
            <wp:effectExtent l="4445" t="4445" r="14605" b="14605"/>
            <wp:docPr id="1" name="图表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0CA0AF88">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14:paraId="4E4209F4">
      <w:pPr>
        <w:spacing w:line="560" w:lineRule="exact"/>
        <w:ind w:firstLine="640" w:firstLineChars="200"/>
        <w:rPr>
          <w:rFonts w:hint="eastAsia" w:ascii="仿宋_GB2312" w:eastAsia="仿宋_GB2312"/>
          <w:color w:val="000000"/>
          <w:sz w:val="32"/>
          <w:szCs w:val="32"/>
          <w:u w:val="none"/>
          <w:lang w:eastAsia="zh-CN"/>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46954E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支出预算90855.85万元，比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highlight w:val="none"/>
          <w:u w:val="none"/>
        </w:rPr>
        <w:t>79441.19万</w:t>
      </w:r>
      <w:r>
        <w:rPr>
          <w:rFonts w:hint="eastAsia" w:ascii="仿宋_GB2312" w:eastAsia="仿宋_GB2312"/>
          <w:color w:val="auto"/>
          <w:sz w:val="32"/>
          <w:szCs w:val="32"/>
          <w:u w:val="none"/>
        </w:rPr>
        <w:t>元增加</w:t>
      </w:r>
      <w:r>
        <w:rPr>
          <w:rFonts w:hint="eastAsia" w:ascii="仿宋_GB2312" w:eastAsia="仿宋_GB2312"/>
          <w:color w:val="auto"/>
          <w:sz w:val="32"/>
          <w:szCs w:val="32"/>
          <w:u w:val="none"/>
          <w:lang w:eastAsia="zh-CN"/>
        </w:rPr>
        <w:t>11414.66</w:t>
      </w:r>
      <w:r>
        <w:rPr>
          <w:rFonts w:hint="eastAsia" w:ascii="仿宋_GB2312" w:eastAsia="仿宋_GB2312"/>
          <w:color w:val="auto"/>
          <w:sz w:val="32"/>
          <w:szCs w:val="32"/>
          <w:u w:val="none"/>
        </w:rPr>
        <w:t>万元，增长14.37%。</w:t>
      </w:r>
      <w:r>
        <w:rPr>
          <w:rFonts w:hint="eastAsia" w:ascii="仿宋_GB2312" w:eastAsia="仿宋_GB2312"/>
          <w:color w:val="auto"/>
          <w:sz w:val="32"/>
          <w:szCs w:val="32"/>
          <w:highlight w:val="none"/>
          <w:u w:val="none"/>
          <w:lang w:eastAsia="zh-CN"/>
        </w:rPr>
        <w:t>主要原因是按照全口径预算管理要求，将跨年度使用的上年结转结余等非财政拨款项目经费纳入预算管理。</w:t>
      </w:r>
    </w:p>
    <w:p w14:paraId="237EBBE4">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支出预算72963.89万元，占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支出预算87.91%，</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72060.29万元增加903.60万元，增长1.25%。</w:t>
      </w:r>
    </w:p>
    <w:p w14:paraId="1F15919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项目支出预算10036.98万元，比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6990.87万元增加3046.11万元，增长</w:t>
      </w:r>
      <w:r>
        <w:rPr>
          <w:rFonts w:hint="eastAsia" w:ascii="仿宋_GB2312" w:eastAsia="仿宋_GB2312"/>
          <w:color w:val="auto"/>
          <w:sz w:val="32"/>
          <w:szCs w:val="32"/>
          <w:u w:val="none"/>
          <w:lang w:eastAsia="zh-CN"/>
        </w:rPr>
        <w:t>43.57%</w:t>
      </w:r>
      <w:r>
        <w:rPr>
          <w:rFonts w:hint="eastAsia" w:ascii="仿宋_GB2312" w:eastAsia="仿宋_GB2312"/>
          <w:color w:val="auto"/>
          <w:sz w:val="32"/>
          <w:szCs w:val="32"/>
          <w:u w:val="none"/>
        </w:rPr>
        <w:t>。其中：</w:t>
      </w:r>
    </w:p>
    <w:p w14:paraId="45F91C52">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2B48BFB7">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55F535F0">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5C9E92BE">
      <w:pPr>
        <w:pStyle w:val="2"/>
        <w:ind w:firstLine="642"/>
        <w:jc w:val="center"/>
        <w:rPr>
          <w:color w:val="auto"/>
          <w:u w:val="none"/>
        </w:rPr>
      </w:pPr>
      <w:r>
        <w:drawing>
          <wp:inline distT="0" distB="0" distL="114300" distR="114300">
            <wp:extent cx="4572000" cy="2705100"/>
            <wp:effectExtent l="4445" t="4445" r="14605" b="14605"/>
            <wp:docPr id="2"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CD9417E">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14:paraId="7AB71B37">
      <w:pPr>
        <w:numPr>
          <w:ilvl w:val="0"/>
          <w:numId w:val="3"/>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年终结转结余资金7,854.98万元</w:t>
      </w:r>
    </w:p>
    <w:p w14:paraId="53383A6E">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0CE43C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14:paraId="6D1FE4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北京农学院</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个所属单位。其他</w:t>
      </w:r>
      <w:r>
        <w:rPr>
          <w:rFonts w:hint="eastAsia" w:ascii="仿宋_GB2312" w:eastAsia="仿宋_GB2312"/>
          <w:color w:val="auto"/>
          <w:sz w:val="32"/>
          <w:szCs w:val="32"/>
          <w:u w:val="none"/>
          <w:lang w:eastAsia="zh-CN"/>
        </w:rPr>
        <w:t>所属</w:t>
      </w:r>
      <w:r>
        <w:rPr>
          <w:rFonts w:hint="eastAsia" w:ascii="仿宋_GB2312" w:eastAsia="仿宋_GB2312"/>
          <w:color w:val="auto"/>
          <w:sz w:val="32"/>
          <w:szCs w:val="32"/>
          <w:u w:val="none"/>
        </w:rPr>
        <w:t>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无财政拨款安排的“三公”经费预算。</w:t>
      </w:r>
    </w:p>
    <w:p w14:paraId="2B9D76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14:paraId="02CE44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财政拨款“三公”经费预算5.40万元，与2024年持平。其中：</w:t>
      </w:r>
    </w:p>
    <w:p w14:paraId="2C69EC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万元，与2024年持平。</w:t>
      </w:r>
    </w:p>
    <w:p w14:paraId="63C5C9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万元，与2024年持平。</w:t>
      </w:r>
    </w:p>
    <w:p w14:paraId="7E40EB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预算数5.40万元，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预算数0万元，与2024年持平；公务用车运行维护费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预算数5.40万元，其中：公务用车燃油1.80万元，公务用车维修2.70万元，公务用车保险0.90万元，其他支出0万元。公务用车运行维护费</w:t>
      </w:r>
      <w:r>
        <w:rPr>
          <w:rFonts w:hint="eastAsia" w:ascii="仿宋_GB2312" w:eastAsia="仿宋_GB2312"/>
          <w:color w:val="auto"/>
          <w:sz w:val="32"/>
          <w:szCs w:val="32"/>
          <w:u w:val="none"/>
          <w:lang w:eastAsia="zh-CN"/>
        </w:rPr>
        <w:t>2025年预算数</w:t>
      </w:r>
      <w:r>
        <w:rPr>
          <w:rFonts w:hint="eastAsia" w:ascii="仿宋_GB2312" w:eastAsia="仿宋_GB2312"/>
          <w:color w:val="auto"/>
          <w:sz w:val="32"/>
          <w:szCs w:val="32"/>
          <w:u w:val="none"/>
        </w:rPr>
        <w:t>与2024年持平。</w:t>
      </w:r>
    </w:p>
    <w:p w14:paraId="74019043">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52557D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7CFA7E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1F3864"/>
          <w:sz w:val="24"/>
        </w:rPr>
      </w:pPr>
      <w:r>
        <w:rPr>
          <w:rFonts w:hint="eastAsia" w:ascii="仿宋_GB2312" w:eastAsia="仿宋_GB2312"/>
          <w:color w:val="auto"/>
          <w:sz w:val="32"/>
          <w:szCs w:val="32"/>
          <w:u w:val="none"/>
          <w:lang w:eastAsia="zh-CN"/>
        </w:rPr>
        <w:t>2025年北京农学院</w:t>
      </w:r>
      <w:r>
        <w:rPr>
          <w:rFonts w:hint="eastAsia" w:ascii="仿宋_GB2312" w:eastAsia="仿宋_GB2312"/>
          <w:color w:val="auto"/>
          <w:sz w:val="32"/>
          <w:szCs w:val="32"/>
          <w:u w:val="none"/>
        </w:rPr>
        <w:t>政府采购预算总额6819.6</w:t>
      </w:r>
      <w:r>
        <w:rPr>
          <w:rFonts w:hint="eastAsia" w:ascii="仿宋_GB2312" w:eastAsia="仿宋_GB2312"/>
          <w:color w:val="auto"/>
          <w:sz w:val="32"/>
          <w:szCs w:val="32"/>
          <w:u w:val="none"/>
          <w:lang w:val="en-US" w:eastAsia="zh-CN"/>
        </w:rPr>
        <w:t>6</w:t>
      </w:r>
      <w:r>
        <w:rPr>
          <w:rFonts w:hint="eastAsia" w:ascii="仿宋_GB2312" w:eastAsia="仿宋_GB2312"/>
          <w:color w:val="auto"/>
          <w:sz w:val="32"/>
          <w:szCs w:val="32"/>
          <w:u w:val="none"/>
        </w:rPr>
        <w:t>万元，其中：政府采购货物预算1715.00万元，政府采购工程预算1346.2</w:t>
      </w:r>
      <w:r>
        <w:rPr>
          <w:rFonts w:hint="eastAsia" w:ascii="仿宋_GB2312" w:eastAsia="仿宋_GB2312"/>
          <w:color w:val="auto"/>
          <w:sz w:val="32"/>
          <w:szCs w:val="32"/>
          <w:u w:val="none"/>
          <w:lang w:val="en-US" w:eastAsia="zh-CN"/>
        </w:rPr>
        <w:t>9</w:t>
      </w:r>
      <w:r>
        <w:rPr>
          <w:rFonts w:hint="eastAsia" w:ascii="仿宋_GB2312" w:eastAsia="仿宋_GB2312"/>
          <w:color w:val="auto"/>
          <w:sz w:val="32"/>
          <w:szCs w:val="32"/>
          <w:u w:val="none"/>
        </w:rPr>
        <w:t>万元，政府采购服务预算3758.37万元。</w:t>
      </w:r>
    </w:p>
    <w:p w14:paraId="45C696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04A28D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olor w:val="1F3864"/>
          <w:sz w:val="24"/>
          <w:lang w:val="en-US"/>
        </w:rPr>
      </w:pPr>
      <w:r>
        <w:rPr>
          <w:rFonts w:hint="eastAsia" w:ascii="仿宋_GB2312" w:eastAsia="仿宋_GB2312"/>
          <w:color w:val="000000"/>
          <w:sz w:val="32"/>
          <w:szCs w:val="32"/>
          <w:u w:val="none"/>
          <w:lang w:eastAsia="zh-CN"/>
        </w:rPr>
        <w:t>本单位2025年无政府购买服务预算。</w:t>
      </w:r>
    </w:p>
    <w:p w14:paraId="34ACB5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39960E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sz w:val="32"/>
          <w:szCs w:val="32"/>
          <w:u w:val="none"/>
          <w:lang w:eastAsia="zh-CN"/>
        </w:rPr>
      </w:pPr>
      <w:r>
        <w:rPr>
          <w:rFonts w:hint="eastAsia" w:ascii="仿宋_GB2312" w:eastAsia="仿宋_GB2312"/>
          <w:color w:val="auto"/>
          <w:sz w:val="32"/>
          <w:szCs w:val="32"/>
          <w:u w:val="none"/>
          <w:lang w:eastAsia="zh-CN"/>
        </w:rPr>
        <w:t>我单位不在机关运行经费统计范围之内。</w:t>
      </w:r>
    </w:p>
    <w:p w14:paraId="67AFCA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49F6E7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1F3864"/>
          <w:sz w:val="24"/>
          <w:highlight w:val="none"/>
        </w:rPr>
      </w:pPr>
      <w:r>
        <w:rPr>
          <w:rFonts w:hint="eastAsia" w:ascii="仿宋_GB2312" w:eastAsia="仿宋_GB2312"/>
          <w:color w:val="auto"/>
          <w:sz w:val="32"/>
          <w:szCs w:val="32"/>
          <w:highlight w:val="none"/>
          <w:u w:val="none"/>
          <w:lang w:eastAsia="zh-CN"/>
        </w:rPr>
        <w:t>2025年</w:t>
      </w:r>
      <w:r>
        <w:rPr>
          <w:rFonts w:hint="eastAsia" w:ascii="仿宋_GB2312" w:eastAsia="仿宋_GB2312"/>
          <w:color w:val="auto"/>
          <w:sz w:val="32"/>
          <w:szCs w:val="32"/>
          <w:highlight w:val="none"/>
          <w:u w:val="none"/>
        </w:rPr>
        <w:t>，</w:t>
      </w:r>
      <w:r>
        <w:rPr>
          <w:rFonts w:hint="eastAsia" w:ascii="仿宋_GB2312" w:eastAsia="仿宋_GB2312"/>
          <w:color w:val="auto"/>
          <w:sz w:val="32"/>
          <w:szCs w:val="32"/>
          <w:highlight w:val="none"/>
          <w:u w:val="none"/>
          <w:lang w:eastAsia="zh-CN"/>
        </w:rPr>
        <w:t>北京农学院</w:t>
      </w:r>
      <w:r>
        <w:rPr>
          <w:rFonts w:hint="eastAsia" w:ascii="仿宋_GB2312" w:eastAsia="仿宋_GB2312"/>
          <w:color w:val="auto"/>
          <w:sz w:val="32"/>
          <w:szCs w:val="32"/>
          <w:highlight w:val="none"/>
          <w:u w:val="none"/>
        </w:rPr>
        <w:t>填报绩效目标的预算项目</w:t>
      </w:r>
      <w:r>
        <w:rPr>
          <w:rFonts w:hint="eastAsia" w:ascii="仿宋_GB2312" w:eastAsia="仿宋_GB2312"/>
          <w:color w:val="auto"/>
          <w:sz w:val="32"/>
          <w:szCs w:val="32"/>
          <w:highlight w:val="none"/>
          <w:u w:val="none"/>
          <w:lang w:val="en-US" w:eastAsia="zh-CN"/>
        </w:rPr>
        <w:t>26</w:t>
      </w:r>
      <w:r>
        <w:rPr>
          <w:rFonts w:hint="eastAsia" w:ascii="仿宋_GB2312" w:eastAsia="仿宋_GB2312"/>
          <w:color w:val="auto"/>
          <w:sz w:val="32"/>
          <w:szCs w:val="32"/>
          <w:highlight w:val="none"/>
          <w:u w:val="none"/>
        </w:rPr>
        <w:t>个，占本</w:t>
      </w:r>
      <w:r>
        <w:rPr>
          <w:rFonts w:hint="eastAsia" w:ascii="仿宋_GB2312" w:eastAsia="仿宋_GB2312"/>
          <w:color w:val="auto"/>
          <w:sz w:val="32"/>
          <w:szCs w:val="32"/>
          <w:highlight w:val="none"/>
          <w:u w:val="none"/>
          <w:lang w:eastAsia="zh-CN"/>
        </w:rPr>
        <w:t>单位</w:t>
      </w:r>
      <w:r>
        <w:rPr>
          <w:rFonts w:hint="eastAsia" w:ascii="仿宋_GB2312" w:eastAsia="仿宋_GB2312"/>
          <w:color w:val="auto"/>
          <w:sz w:val="32"/>
          <w:szCs w:val="32"/>
          <w:highlight w:val="none"/>
          <w:u w:val="none"/>
        </w:rPr>
        <w:t>本年预算项目</w:t>
      </w:r>
      <w:r>
        <w:rPr>
          <w:rFonts w:hint="eastAsia" w:ascii="仿宋_GB2312" w:eastAsia="仿宋_GB2312"/>
          <w:color w:val="auto"/>
          <w:sz w:val="32"/>
          <w:szCs w:val="32"/>
          <w:highlight w:val="none"/>
          <w:u w:val="none"/>
          <w:lang w:val="en-US" w:eastAsia="zh-CN"/>
        </w:rPr>
        <w:t>26</w:t>
      </w:r>
      <w:r>
        <w:rPr>
          <w:rFonts w:hint="eastAsia" w:ascii="仿宋_GB2312" w:eastAsia="仿宋_GB2312"/>
          <w:color w:val="auto"/>
          <w:sz w:val="32"/>
          <w:szCs w:val="32"/>
          <w:highlight w:val="none"/>
          <w:u w:val="none"/>
        </w:rPr>
        <w:t>个的</w:t>
      </w:r>
      <w:r>
        <w:rPr>
          <w:rFonts w:hint="eastAsia" w:ascii="仿宋_GB2312" w:eastAsia="仿宋_GB2312"/>
          <w:color w:val="auto"/>
          <w:sz w:val="32"/>
          <w:szCs w:val="32"/>
          <w:highlight w:val="none"/>
          <w:u w:val="none"/>
          <w:lang w:val="en-US" w:eastAsia="zh-CN"/>
        </w:rPr>
        <w:t>100</w:t>
      </w:r>
      <w:r>
        <w:rPr>
          <w:rFonts w:hint="eastAsia" w:ascii="仿宋_GB2312" w:eastAsia="仿宋_GB2312"/>
          <w:color w:val="auto"/>
          <w:sz w:val="32"/>
          <w:szCs w:val="32"/>
          <w:highlight w:val="none"/>
          <w:u w:val="none"/>
        </w:rPr>
        <w:t>%。填报绩效目标的项目支出预算9006.34万元，占本</w:t>
      </w:r>
      <w:r>
        <w:rPr>
          <w:rFonts w:hint="eastAsia" w:ascii="仿宋_GB2312" w:eastAsia="仿宋_GB2312"/>
          <w:color w:val="auto"/>
          <w:sz w:val="32"/>
          <w:szCs w:val="32"/>
          <w:highlight w:val="none"/>
          <w:u w:val="none"/>
          <w:lang w:eastAsia="zh-CN"/>
        </w:rPr>
        <w:t>单位</w:t>
      </w:r>
      <w:r>
        <w:rPr>
          <w:rFonts w:hint="eastAsia" w:ascii="仿宋_GB2312" w:eastAsia="仿宋_GB2312"/>
          <w:color w:val="auto"/>
          <w:sz w:val="32"/>
          <w:szCs w:val="32"/>
          <w:highlight w:val="none"/>
          <w:u w:val="none"/>
        </w:rPr>
        <w:t>本年项目支出预算的</w:t>
      </w:r>
      <w:r>
        <w:rPr>
          <w:rFonts w:hint="eastAsia" w:ascii="仿宋_GB2312" w:eastAsia="仿宋_GB2312"/>
          <w:color w:val="auto"/>
          <w:sz w:val="32"/>
          <w:szCs w:val="32"/>
          <w:highlight w:val="none"/>
          <w:u w:val="none"/>
          <w:lang w:val="en-US" w:eastAsia="zh-CN"/>
        </w:rPr>
        <w:t>100</w:t>
      </w:r>
      <w:r>
        <w:rPr>
          <w:rFonts w:hint="eastAsia" w:ascii="仿宋_GB2312" w:eastAsia="仿宋_GB2312"/>
          <w:color w:val="auto"/>
          <w:sz w:val="32"/>
          <w:szCs w:val="32"/>
          <w:highlight w:val="none"/>
          <w:u w:val="none"/>
        </w:rPr>
        <w:t>%</w:t>
      </w:r>
      <w:r>
        <w:rPr>
          <w:rFonts w:hint="eastAsia" w:ascii="仿宋_GB2312" w:eastAsia="仿宋_GB2312"/>
          <w:color w:val="auto"/>
          <w:sz w:val="32"/>
          <w:szCs w:val="32"/>
          <w:highlight w:val="none"/>
          <w:u w:val="none"/>
          <w:lang w:eastAsia="zh-CN"/>
        </w:rPr>
        <w:t>。</w:t>
      </w:r>
    </w:p>
    <w:p w14:paraId="3342AA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14:paraId="3537CC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1F3864"/>
          <w:sz w:val="24"/>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14:paraId="145464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48CBDE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3610D4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14:paraId="6D65C1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highlight w:val="none"/>
          <w:u w:val="none"/>
          <w:lang w:val="en-US" w:eastAsia="zh-CN"/>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eastAsia="zh-CN"/>
        </w:rPr>
        <w:t>北京农学院</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16</w:t>
      </w:r>
      <w:r>
        <w:rPr>
          <w:rFonts w:hint="eastAsia" w:ascii="仿宋_GB2312" w:eastAsia="仿宋_GB2312"/>
          <w:color w:val="000000"/>
          <w:sz w:val="32"/>
          <w:szCs w:val="32"/>
          <w:u w:val="none"/>
        </w:rPr>
        <w:t>台，共计501</w:t>
      </w:r>
      <w:r>
        <w:rPr>
          <w:rFonts w:hint="eastAsia" w:ascii="仿宋_GB2312" w:eastAsia="仿宋_GB2312"/>
          <w:color w:val="000000"/>
          <w:sz w:val="32"/>
          <w:szCs w:val="32"/>
          <w:u w:val="none"/>
          <w:lang w:val="en-US" w:eastAsia="zh-CN"/>
        </w:rPr>
        <w:t>.</w:t>
      </w:r>
      <w:r>
        <w:rPr>
          <w:rFonts w:hint="eastAsia" w:ascii="仿宋_GB2312" w:eastAsia="仿宋_GB2312"/>
          <w:color w:val="000000"/>
          <w:sz w:val="32"/>
          <w:szCs w:val="32"/>
          <w:u w:val="none"/>
        </w:rPr>
        <w:t>3</w:t>
      </w:r>
      <w:r>
        <w:rPr>
          <w:rFonts w:hint="eastAsia" w:ascii="仿宋_GB2312" w:eastAsia="仿宋_GB2312"/>
          <w:color w:val="000000"/>
          <w:sz w:val="32"/>
          <w:szCs w:val="32"/>
          <w:u w:val="none"/>
          <w:lang w:val="en-US" w:eastAsia="zh-CN"/>
        </w:rPr>
        <w:t>9</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118</w:t>
      </w:r>
      <w:r>
        <w:rPr>
          <w:rFonts w:hint="eastAsia" w:ascii="仿宋_GB2312" w:eastAsia="仿宋_GB2312"/>
          <w:color w:val="000000"/>
          <w:sz w:val="32"/>
          <w:szCs w:val="32"/>
          <w:u w:val="none"/>
        </w:rPr>
        <w:t>台（套）、共计11937</w:t>
      </w:r>
      <w:r>
        <w:rPr>
          <w:rFonts w:hint="eastAsia" w:ascii="仿宋_GB2312" w:eastAsia="仿宋_GB2312"/>
          <w:color w:val="000000"/>
          <w:sz w:val="32"/>
          <w:szCs w:val="32"/>
          <w:u w:val="none"/>
          <w:lang w:val="en-US" w:eastAsia="zh-CN"/>
        </w:rPr>
        <w:t>.</w:t>
      </w:r>
      <w:r>
        <w:rPr>
          <w:rFonts w:hint="eastAsia" w:ascii="仿宋_GB2312" w:eastAsia="仿宋_GB2312"/>
          <w:color w:val="000000"/>
          <w:sz w:val="32"/>
          <w:szCs w:val="32"/>
          <w:u w:val="none"/>
        </w:rPr>
        <w:t>89万元。</w:t>
      </w:r>
      <w:r>
        <w:rPr>
          <w:rFonts w:hint="eastAsia" w:ascii="仿宋_GB2312" w:eastAsia="仿宋_GB2312"/>
          <w:color w:val="000000"/>
          <w:sz w:val="32"/>
          <w:szCs w:val="32"/>
          <w:u w:val="none"/>
          <w:lang w:val="en-US" w:eastAsia="zh-CN"/>
        </w:rPr>
        <w:t>2025年预算安排中，购置单位价值50万元以上的设</w:t>
      </w:r>
      <w:r>
        <w:rPr>
          <w:rFonts w:hint="eastAsia" w:ascii="仿宋_GB2312" w:eastAsia="仿宋_GB2312"/>
          <w:color w:val="000000"/>
          <w:sz w:val="32"/>
          <w:szCs w:val="32"/>
          <w:highlight w:val="none"/>
          <w:u w:val="none"/>
          <w:lang w:val="en-US" w:eastAsia="zh-CN"/>
        </w:rPr>
        <w:t>备0台（套），共计0万元。</w:t>
      </w:r>
    </w:p>
    <w:p w14:paraId="10D303FC">
      <w:pPr>
        <w:numPr>
          <w:ilvl w:val="0"/>
          <w:numId w:val="4"/>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名词解释</w:t>
      </w:r>
    </w:p>
    <w:p w14:paraId="0085D779">
      <w:pPr>
        <w:numPr>
          <w:ilvl w:val="0"/>
          <w:numId w:val="0"/>
        </w:num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16C60425">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389F8612">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14:paraId="0D7F57D4">
      <w:pPr>
        <w:pStyle w:val="2"/>
        <w:rPr>
          <w:rFonts w:hint="eastAsia"/>
        </w:rPr>
      </w:pPr>
    </w:p>
    <w:p w14:paraId="0BABAD0E">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14:paraId="0F8F1BF3">
      <w:pPr>
        <w:spacing w:line="560" w:lineRule="exact"/>
        <w:ind w:firstLine="640" w:firstLineChars="200"/>
        <w:rPr>
          <w:rFonts w:hint="eastAsia" w:ascii="仿宋_GB2312" w:eastAsia="仿宋_GB2312"/>
          <w:color w:val="000000"/>
          <w:sz w:val="32"/>
          <w:szCs w:val="32"/>
          <w:u w:val="none"/>
        </w:rPr>
      </w:pPr>
    </w:p>
    <w:p w14:paraId="2BF6E6B7">
      <w:pPr>
        <w:spacing w:line="560" w:lineRule="exact"/>
        <w:ind w:firstLine="640" w:firstLineChars="200"/>
        <w:rPr>
          <w:rFonts w:hint="eastAsia" w:ascii="仿宋_GB2312" w:eastAsia="仿宋_GB2312" w:cs="宋体"/>
          <w:color w:val="000000"/>
          <w:kern w:val="0"/>
          <w:sz w:val="32"/>
          <w:szCs w:val="32"/>
          <w:u w:val="none"/>
          <w:lang w:val="zh-CN"/>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北京农学院2025年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14:paraId="3B81B16F">
      <w:pPr>
        <w:spacing w:line="560" w:lineRule="exact"/>
        <w:ind w:firstLine="640" w:firstLineChars="200"/>
        <w:rPr>
          <w:rFonts w:hint="eastAsia" w:ascii="仿宋_GB2312" w:eastAsia="仿宋_GB2312"/>
          <w:color w:val="000000"/>
          <w:sz w:val="32"/>
          <w:szCs w:val="32"/>
          <w:u w:val="none"/>
        </w:rPr>
      </w:pPr>
    </w:p>
    <w:p w14:paraId="6D217CB5">
      <w:pPr>
        <w:rPr>
          <w:rFonts w:hint="eastAsia" w:ascii="仿宋_GB2312" w:eastAsia="仿宋_GB2312"/>
          <w:sz w:val="32"/>
          <w:szCs w:val="32"/>
          <w:u w:val="none"/>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620129-63D2-45E7-A4D9-3B64CD7228F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embedRegular r:id="rId2" w:fontKey="{F763EDCA-5387-43E7-BADF-C2C3DB28DC74}"/>
  </w:font>
  <w:font w:name="楷体_GB2312">
    <w:panose1 w:val="02010609030101010101"/>
    <w:charset w:val="86"/>
    <w:family w:val="modern"/>
    <w:pitch w:val="default"/>
    <w:sig w:usb0="00000001" w:usb1="080E0000" w:usb2="00000000" w:usb3="00000000" w:csb0="00040000" w:csb1="00000000"/>
    <w:embedRegular r:id="rId3" w:fontKey="{1A159E51-B169-4933-A960-D6112BABF5E5}"/>
  </w:font>
  <w:font w:name="Droid Sans">
    <w:altName w:val="微软雅黑"/>
    <w:panose1 w:val="00000000000000000000"/>
    <w:charset w:val="00"/>
    <w:family w:val="auto"/>
    <w:pitch w:val="default"/>
    <w:sig w:usb0="00000000" w:usb1="00000000" w:usb2="00000000" w:usb3="00000000" w:csb0="00040001" w:csb1="00000000"/>
    <w:embedRegular r:id="rId4" w:fontKey="{50E16642-73D6-43E9-941C-60C340027F2B}"/>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5" w:fontKey="{7A1E44FD-A94C-44E6-A910-02A22BF53882}"/>
  </w:font>
  <w:font w:name="仿宋_GB2312">
    <w:panose1 w:val="02010609030101010101"/>
    <w:charset w:val="86"/>
    <w:family w:val="modern"/>
    <w:pitch w:val="default"/>
    <w:sig w:usb0="00000001" w:usb1="080E0000" w:usb2="00000000" w:usb3="00000000" w:csb0="00040000" w:csb1="00000000"/>
    <w:embedRegular r:id="rId6" w:fontKey="{5B203C65-63BF-4A83-9189-3D9A0E4F2E67}"/>
  </w:font>
  <w:font w:name="等线">
    <w:panose1 w:val="02010600030101010101"/>
    <w:charset w:val="86"/>
    <w:family w:val="auto"/>
    <w:pitch w:val="default"/>
    <w:sig w:usb0="A00002BF" w:usb1="38CF7CFA" w:usb2="00000016" w:usb3="00000000" w:csb0="0004000F" w:csb1="00000000"/>
    <w:embedRegular r:id="rId7" w:fontKey="{ECFBE95B-5C13-4508-BBF7-A1F4DD24AA1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7C827">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563932">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Dfsc7ndAQAAvgMAAA4AAAAAAAAA&#10;AQAgAAAAHgEAAGRycy9lMm9Eb2MueG1sUEsFBgAAAAAGAAYAWQEAAG0FAAAAAA==&#10;">
              <v:fill on="f" focussize="0,0"/>
              <v:stroke on="f"/>
              <v:imagedata o:title=""/>
              <o:lock v:ext="edit" aspectratio="f"/>
              <v:textbox inset="0mm,0mm,0mm,0mm" style="mso-fit-shape-to-text:t;">
                <w:txbxContent>
                  <w:p w14:paraId="2C563932">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2194C4D5">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98A826"/>
    <w:multiLevelType w:val="singleLevel"/>
    <w:tmpl w:val="8598A826"/>
    <w:lvl w:ilvl="0" w:tentative="0">
      <w:start w:val="6"/>
      <w:numFmt w:val="chineseCounting"/>
      <w:suff w:val="nothing"/>
      <w:lvlText w:val="%1、"/>
      <w:lvlJc w:val="left"/>
      <w:rPr>
        <w:rFonts w:hint="eastAsia"/>
      </w:rPr>
    </w:lvl>
  </w:abstractNum>
  <w:abstractNum w:abstractNumId="1">
    <w:nsid w:val="FE6B37D3"/>
    <w:multiLevelType w:val="singleLevel"/>
    <w:tmpl w:val="FE6B37D3"/>
    <w:lvl w:ilvl="0" w:tentative="0">
      <w:start w:val="2"/>
      <w:numFmt w:val="chineseCounting"/>
      <w:suff w:val="nothing"/>
      <w:lvlText w:val="%1、"/>
      <w:lvlJc w:val="left"/>
      <w:rPr>
        <w:rFonts w:hint="eastAsia"/>
      </w:rPr>
    </w:lvl>
  </w:abstractNum>
  <w:abstractNum w:abstractNumId="2">
    <w:nsid w:val="FF2E9D19"/>
    <w:multiLevelType w:val="singleLevel"/>
    <w:tmpl w:val="FF2E9D19"/>
    <w:lvl w:ilvl="0" w:tentative="0">
      <w:start w:val="3"/>
      <w:numFmt w:val="chineseCounting"/>
      <w:suff w:val="nothing"/>
      <w:lvlText w:val="（%1）"/>
      <w:lvlJc w:val="left"/>
      <w:rPr>
        <w:rFonts w:hint="eastAsia"/>
      </w:rPr>
    </w:lvl>
  </w:abstractNum>
  <w:abstractNum w:abstractNumId="3">
    <w:nsid w:val="6F8420CC"/>
    <w:multiLevelType w:val="singleLevel"/>
    <w:tmpl w:val="6F8420CC"/>
    <w:lvl w:ilvl="0" w:tentative="0">
      <w:start w:val="1"/>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3Yjk4MDIyYTdhYmQzYmQxNTI4YzgzMjliMGMxMzcifQ=="/>
  </w:docVars>
  <w:rsids>
    <w:rsidRoot w:val="00797F79"/>
    <w:rsid w:val="00307779"/>
    <w:rsid w:val="0032325C"/>
    <w:rsid w:val="006F3CD8"/>
    <w:rsid w:val="008A2E8D"/>
    <w:rsid w:val="009F505C"/>
    <w:rsid w:val="01B4527D"/>
    <w:rsid w:val="01DE318D"/>
    <w:rsid w:val="01FD03F3"/>
    <w:rsid w:val="06B710F6"/>
    <w:rsid w:val="0EFFF08B"/>
    <w:rsid w:val="0F491593"/>
    <w:rsid w:val="1556FFE7"/>
    <w:rsid w:val="19004393"/>
    <w:rsid w:val="1D7B2BEA"/>
    <w:rsid w:val="1E2F585A"/>
    <w:rsid w:val="1FB9016F"/>
    <w:rsid w:val="1FE6D21C"/>
    <w:rsid w:val="23735A5C"/>
    <w:rsid w:val="283B6E16"/>
    <w:rsid w:val="2E434CB3"/>
    <w:rsid w:val="2F731B75"/>
    <w:rsid w:val="2F7EA178"/>
    <w:rsid w:val="2FEFCACA"/>
    <w:rsid w:val="2FF31CCC"/>
    <w:rsid w:val="33BF5DDC"/>
    <w:rsid w:val="37BFBFEE"/>
    <w:rsid w:val="37FD2E23"/>
    <w:rsid w:val="3AEE7FDD"/>
    <w:rsid w:val="3B1D5808"/>
    <w:rsid w:val="3BFE8EC0"/>
    <w:rsid w:val="3D3B750B"/>
    <w:rsid w:val="3DFB85D7"/>
    <w:rsid w:val="3DFFFEEB"/>
    <w:rsid w:val="3E578A4D"/>
    <w:rsid w:val="3E7746F2"/>
    <w:rsid w:val="3EAFE38B"/>
    <w:rsid w:val="3EFB023F"/>
    <w:rsid w:val="3F5B7215"/>
    <w:rsid w:val="3F6FC1FB"/>
    <w:rsid w:val="3F730350"/>
    <w:rsid w:val="3F76647A"/>
    <w:rsid w:val="3F7D5AD8"/>
    <w:rsid w:val="3FBA30DB"/>
    <w:rsid w:val="3FBFE16E"/>
    <w:rsid w:val="3FF7F9C0"/>
    <w:rsid w:val="3FFBC816"/>
    <w:rsid w:val="40D16FE2"/>
    <w:rsid w:val="42F62BBB"/>
    <w:rsid w:val="438D45E6"/>
    <w:rsid w:val="48D44964"/>
    <w:rsid w:val="4CD68066"/>
    <w:rsid w:val="4E67CE40"/>
    <w:rsid w:val="4F6D150F"/>
    <w:rsid w:val="4FEE37C7"/>
    <w:rsid w:val="4FFB9147"/>
    <w:rsid w:val="517E78AA"/>
    <w:rsid w:val="53DF3E7F"/>
    <w:rsid w:val="545DF6FA"/>
    <w:rsid w:val="55DE48F6"/>
    <w:rsid w:val="56BE7231"/>
    <w:rsid w:val="57ADBE82"/>
    <w:rsid w:val="57E332DD"/>
    <w:rsid w:val="57E9CD93"/>
    <w:rsid w:val="57EB425A"/>
    <w:rsid w:val="59D7A30C"/>
    <w:rsid w:val="5AE3566C"/>
    <w:rsid w:val="5BEE7D82"/>
    <w:rsid w:val="5BFC36A8"/>
    <w:rsid w:val="5C934137"/>
    <w:rsid w:val="5F5F35ED"/>
    <w:rsid w:val="5FB4B9F0"/>
    <w:rsid w:val="5FBA6CF8"/>
    <w:rsid w:val="5FD532B6"/>
    <w:rsid w:val="5FE95128"/>
    <w:rsid w:val="5FF3352E"/>
    <w:rsid w:val="5FFFD6B5"/>
    <w:rsid w:val="67BF653D"/>
    <w:rsid w:val="67FBD21B"/>
    <w:rsid w:val="69CDDFC6"/>
    <w:rsid w:val="6AFBD4E9"/>
    <w:rsid w:val="6BFE087F"/>
    <w:rsid w:val="6BFF83C2"/>
    <w:rsid w:val="6C4167A7"/>
    <w:rsid w:val="6C5F4E7D"/>
    <w:rsid w:val="6D3F2E98"/>
    <w:rsid w:val="6DFE07CC"/>
    <w:rsid w:val="6DFFB2B9"/>
    <w:rsid w:val="6ECB6C3E"/>
    <w:rsid w:val="6F3A9571"/>
    <w:rsid w:val="6FCDA027"/>
    <w:rsid w:val="6FDC8289"/>
    <w:rsid w:val="71FF8133"/>
    <w:rsid w:val="729DB731"/>
    <w:rsid w:val="732F9AB6"/>
    <w:rsid w:val="73A5D6F8"/>
    <w:rsid w:val="74FD455A"/>
    <w:rsid w:val="75D907AF"/>
    <w:rsid w:val="763ED7FC"/>
    <w:rsid w:val="767F6AF6"/>
    <w:rsid w:val="767FBCC8"/>
    <w:rsid w:val="76D778D6"/>
    <w:rsid w:val="76FE24ED"/>
    <w:rsid w:val="77773C62"/>
    <w:rsid w:val="777F4630"/>
    <w:rsid w:val="77DF7EB6"/>
    <w:rsid w:val="77FABEEF"/>
    <w:rsid w:val="77FC8AD8"/>
    <w:rsid w:val="77FFC18C"/>
    <w:rsid w:val="77FFEDC5"/>
    <w:rsid w:val="78F52093"/>
    <w:rsid w:val="797F48DA"/>
    <w:rsid w:val="79CFCA19"/>
    <w:rsid w:val="7B2E7344"/>
    <w:rsid w:val="7B503CA9"/>
    <w:rsid w:val="7B5B4466"/>
    <w:rsid w:val="7B8DB0E0"/>
    <w:rsid w:val="7BD7C5D4"/>
    <w:rsid w:val="7BDE2E6D"/>
    <w:rsid w:val="7BFAEA32"/>
    <w:rsid w:val="7C9BB5BA"/>
    <w:rsid w:val="7CA5738C"/>
    <w:rsid w:val="7CFF2D90"/>
    <w:rsid w:val="7D629DCE"/>
    <w:rsid w:val="7D7E1C9B"/>
    <w:rsid w:val="7DAF9F6F"/>
    <w:rsid w:val="7DDF7761"/>
    <w:rsid w:val="7DDFEE83"/>
    <w:rsid w:val="7DFBA975"/>
    <w:rsid w:val="7E7F7957"/>
    <w:rsid w:val="7EBE6155"/>
    <w:rsid w:val="7F3BE6B0"/>
    <w:rsid w:val="7F3F94D5"/>
    <w:rsid w:val="7F3FC408"/>
    <w:rsid w:val="7F7AD461"/>
    <w:rsid w:val="7F9BB94C"/>
    <w:rsid w:val="7FB5D6F6"/>
    <w:rsid w:val="7FCD88E5"/>
    <w:rsid w:val="7FF59EC3"/>
    <w:rsid w:val="7FF9E7AB"/>
    <w:rsid w:val="7FFA4ACA"/>
    <w:rsid w:val="7FFF1AF0"/>
    <w:rsid w:val="7FFFFE22"/>
    <w:rsid w:val="923DB5D2"/>
    <w:rsid w:val="97EF9245"/>
    <w:rsid w:val="9B6FD390"/>
    <w:rsid w:val="9BFF5F19"/>
    <w:rsid w:val="9F75BF60"/>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DEF20CF"/>
    <w:rsid w:val="BEEF0D30"/>
    <w:rsid w:val="BEFF6650"/>
    <w:rsid w:val="BF7B23E6"/>
    <w:rsid w:val="BFBFE194"/>
    <w:rsid w:val="BFCFAEF2"/>
    <w:rsid w:val="BFD57FE1"/>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7FF22D7"/>
    <w:rsid w:val="E8FF6CA0"/>
    <w:rsid w:val="EB6F6027"/>
    <w:rsid w:val="EBBD09D3"/>
    <w:rsid w:val="ECBFB19E"/>
    <w:rsid w:val="EF3D4EF9"/>
    <w:rsid w:val="EF7778AA"/>
    <w:rsid w:val="EFDB4341"/>
    <w:rsid w:val="EFDB7C9A"/>
    <w:rsid w:val="EFEF30CE"/>
    <w:rsid w:val="EFFD6B90"/>
    <w:rsid w:val="EFFF9813"/>
    <w:rsid w:val="F279611C"/>
    <w:rsid w:val="F3F77884"/>
    <w:rsid w:val="F51E3B23"/>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EE794A5"/>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F71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8">
    <w:name w:val="Default Paragraph Fon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Date"/>
    <w:basedOn w:val="1"/>
    <w:next w:val="1"/>
    <w:uiPriority w:val="0"/>
    <w:rPr>
      <w:rFonts w:eastAsia="楷体_GB2312" w:cs="Droid Sans"/>
      <w:sz w:val="32"/>
      <w:szCs w:val="20"/>
      <w:lang w:bidi="ar-SA"/>
    </w:rPr>
  </w:style>
  <w:style w:type="paragraph" w:styleId="4">
    <w:name w:val="Balloon Text"/>
    <w:basedOn w:val="1"/>
    <w:link w:val="10"/>
    <w:uiPriority w:val="0"/>
    <w:rPr>
      <w:sz w:val="18"/>
      <w:szCs w:val="18"/>
    </w:rPr>
  </w:style>
  <w:style w:type="paragraph" w:styleId="5">
    <w:name w:val="footer"/>
    <w:basedOn w:val="1"/>
    <w:link w:val="11"/>
    <w:uiPriority w:val="99"/>
    <w:pPr>
      <w:tabs>
        <w:tab w:val="center" w:pos="4153"/>
        <w:tab w:val="right" w:pos="8306"/>
      </w:tabs>
      <w:snapToGrid w:val="0"/>
      <w:jc w:val="left"/>
    </w:pPr>
    <w:rPr>
      <w:sz w:val="18"/>
      <w:szCs w:val="20"/>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uiPriority w:val="0"/>
  </w:style>
  <w:style w:type="character" w:customStyle="1" w:styleId="10">
    <w:name w:val="批注框文本 Char"/>
    <w:link w:val="4"/>
    <w:uiPriority w:val="0"/>
    <w:rPr>
      <w:rFonts w:ascii="Times New Roman" w:hAnsi="Times New Roman"/>
      <w:kern w:val="2"/>
      <w:sz w:val="18"/>
      <w:szCs w:val="18"/>
    </w:rPr>
  </w:style>
  <w:style w:type="character" w:customStyle="1" w:styleId="11">
    <w:name w:val="页脚 Char"/>
    <w:link w:val="5"/>
    <w:uiPriority w:val="99"/>
    <w:rPr>
      <w:rFonts w:ascii="Times New Roman" w:hAnsi="Times New Roman"/>
      <w:kern w:val="2"/>
      <w:sz w:val="18"/>
    </w:rPr>
  </w:style>
  <w:style w:type="character" w:customStyle="1" w:styleId="12">
    <w:name w:val="页眉 Char"/>
    <w:link w:val="6"/>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dell\Desktop\2025&#24180;&#39044;&#31639;&#20844;&#24320;\&#24213;&#31295;%20-0218.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dell\Desktop\2025&#24180;&#39044;&#31639;&#20844;&#24320;\&#24213;&#31295;%20-02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400" b="0" i="0" u="none" strike="noStrike" kern="1200" spc="0" baseline="0">
              <a:solidFill>
                <a:srgbClr val="595959">
                  <a:lumMod val="65000"/>
                  <a:lumOff val="35000"/>
                </a:srgbClr>
              </a:solidFill>
              <a:latin typeface="+mn-lt"/>
              <a:ea typeface="+mn-ea"/>
              <a:cs typeface="+mn-cs"/>
            </a:defRPr>
          </a:pPr>
        </a:p>
      </c:txPr>
    </c:title>
    <c:autoTitleDeleted val="0"/>
    <c:plotArea>
      <c:layout/>
      <c:pieChart>
        <c:varyColors val="1"/>
        <c:ser>
          <c:idx val="0"/>
          <c:order val="0"/>
          <c:tx>
            <c:strRef>
              <c:f>'[底稿 -0218.xlsx]Sheet6'!$E$6</c:f>
              <c:strCache>
                <c:ptCount val="1"/>
                <c:pt idx="0">
                  <c:v>收入预算</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Pt>
            <c:idx val="5"/>
            <c:bubble3D val="0"/>
            <c:spPr>
              <a:solidFill>
                <a:srgbClr val="F79646"/>
              </a:solidFill>
              <a:ln w="19050">
                <a:solidFill>
                  <a:srgbClr val="FFFFFF"/>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'[底稿 -0218.xlsx]Sheet6'!$D$7:$D$12</c:f>
              <c:strCache>
                <c:ptCount val="6"/>
                <c:pt idx="0">
                  <c:v>一般公共预算拨款收入</c:v>
                </c:pt>
                <c:pt idx="1">
                  <c:v>财政专户管理资金收入</c:v>
                </c:pt>
                <c:pt idx="2">
                  <c:v>事业收入</c:v>
                </c:pt>
                <c:pt idx="3">
                  <c:v>事业单位经营收入</c:v>
                </c:pt>
                <c:pt idx="4">
                  <c:v>其他收入</c:v>
                </c:pt>
                <c:pt idx="5">
                  <c:v>上年结转结余</c:v>
                </c:pt>
              </c:strCache>
            </c:strRef>
          </c:cat>
          <c:val>
            <c:numRef>
              <c:f>'[底稿 -0218.xlsx]Sheet6'!$E$7:$E$12</c:f>
              <c:numCache>
                <c:formatCode>#,##0.00</c:formatCode>
                <c:ptCount val="6"/>
                <c:pt idx="0">
                  <c:v>53409.058579</c:v>
                </c:pt>
                <c:pt idx="1">
                  <c:v>4082.529</c:v>
                </c:pt>
                <c:pt idx="2">
                  <c:v>11954.17</c:v>
                </c:pt>
                <c:pt idx="3">
                  <c:v>3224</c:v>
                </c:pt>
                <c:pt idx="4">
                  <c:v>3924.2568</c:v>
                </c:pt>
                <c:pt idx="5">
                  <c:v>14261.835855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11456310679612"/>
          <c:y val="0.347685185185185"/>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cfcf022e-68be-4462-8dfd-60de49997b4e}"/>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'[底稿 -0218.xlsx]Sheet6'!$D$30:$D$31</c:f>
              <c:strCache>
                <c:ptCount val="2"/>
                <c:pt idx="0">
                  <c:v>基本支出</c:v>
                </c:pt>
                <c:pt idx="1">
                  <c:v>项目支出</c:v>
                </c:pt>
              </c:strCache>
            </c:strRef>
          </c:cat>
          <c:val>
            <c:numRef>
              <c:f>'[底稿 -0218.xlsx]Sheet6'!$E$30:$E$31</c:f>
              <c:numCache>
                <c:formatCode>#,##0.00</c:formatCode>
                <c:ptCount val="2"/>
                <c:pt idx="0">
                  <c:v>72963.892203</c:v>
                </c:pt>
                <c:pt idx="1">
                  <c:v>10036.979188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3689410b-8d4e-4f92-adcc-9d11165dd66c}"/>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7</Pages>
  <Words>2285</Words>
  <Characters>2653</Characters>
  <Lines>108</Lines>
  <Paragraphs>30</Paragraphs>
  <TotalTime>0</TotalTime>
  <ScaleCrop>false</ScaleCrop>
  <LinksUpToDate>false</LinksUpToDate>
  <CharactersWithSpaces>2679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2022-02-10T01:48:00Z</dcterms:created>
  <dc:creator>马荣丽</dc:creator>
  <cp:lastModifiedBy>liqi</cp:lastModifiedBy>
  <cp:lastPrinted>2025-02-19T01:31:00Z</cp:lastPrinted>
  <dcterms:modified xsi:type="dcterms:W3CDTF">2025-02-27T03:42:44Z</dcterms:modified>
  <dc:title>处领导：</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5347B4B26AD04350824C47B0E8606F07_13</vt:lpwstr>
  </property>
  <property fmtid="{D5CDD505-2E9C-101B-9397-08002B2CF9AE}" pid="4" name="KSOTemplateDocerSaveRecord">
    <vt:lpwstr>eyJoZGlkIjoiNzk3YzUxOTc2MTAyNGNjZTU1YWUwNTU5OGI2YTZkODUiLCJ1c2VySWQiOiIzNTc0NDg4MDgifQ==</vt:lpwstr>
  </property>
</Properties>
</file>