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rPr>
          <w:rFonts w:hint="eastAsia"/>
        </w:rPr>
      </w:pPr>
    </w:p>
    <w:p>
      <w:pPr>
        <w:spacing w:line="560" w:lineRule="exact"/>
        <w:jc w:val="center"/>
        <w:rPr>
          <w:rFonts w:hint="eastAsia"/>
        </w:rPr>
      </w:pPr>
      <w:r>
        <w:rPr>
          <w:rFonts w:hint="eastAsia" w:ascii="方正小标宋简体" w:eastAsia="方正小标宋简体"/>
          <w:color w:val="000000"/>
          <w:sz w:val="44"/>
          <w:szCs w:val="44"/>
        </w:rPr>
        <w:t>北方工业大学</w:t>
      </w:r>
      <w:r>
        <w:rPr>
          <w:rFonts w:hint="eastAsia" w:ascii="方正小标宋简体" w:eastAsia="方正小标宋简体"/>
          <w:color w:val="000000"/>
          <w:sz w:val="44"/>
          <w:szCs w:val="44"/>
        </w:rPr>
        <w:t>2025年度单位预算信息公开</w:t>
      </w:r>
    </w:p>
    <w:p>
      <w:pPr>
        <w:spacing w:line="560" w:lineRule="exact"/>
        <w:jc w:val="center"/>
        <w:rPr>
          <w:rFonts w:hint="eastAsia" w:ascii="方正小标宋简体" w:eastAsia="方正小标宋简体"/>
          <w:color w:val="000000"/>
          <w:sz w:val="32"/>
          <w:szCs w:val="32"/>
        </w:rPr>
      </w:pPr>
    </w:p>
    <w:p>
      <w:pPr>
        <w:spacing w:line="560" w:lineRule="exact"/>
        <w:jc w:val="center"/>
        <w:rPr>
          <w:rFonts w:ascii="Cambria" w:eastAsia="黑体"/>
          <w:color w:val="000000"/>
          <w:sz w:val="36"/>
          <w:szCs w:val="32"/>
        </w:rPr>
      </w:pPr>
      <w:r>
        <w:rPr>
          <w:rFonts w:hint="eastAsia" w:ascii="方正小标宋简体" w:eastAsia="方正小标宋简体"/>
          <w:color w:val="000000"/>
          <w:sz w:val="32"/>
          <w:szCs w:val="32"/>
        </w:rPr>
        <w:t>目   录</w:t>
      </w:r>
    </w:p>
    <w:p>
      <w:pPr>
        <w:spacing w:line="240" w:lineRule="exact"/>
        <w:jc w:val="center"/>
        <w:rPr>
          <w:rFonts w:hint="eastAsia" w:ascii="方正小标宋简体" w:eastAsia="方正小标宋简体"/>
          <w:color w:val="000000"/>
          <w:sz w:val="32"/>
          <w:szCs w:val="32"/>
        </w:rPr>
      </w:pP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w:t>
      </w:r>
      <w:bookmarkStart w:id="0" w:name="_GoBack"/>
      <w:bookmarkEnd w:id="0"/>
      <w:r>
        <w:rPr>
          <w:rFonts w:hint="eastAsia" w:ascii="仿宋_GB2312" w:hAnsi="仿宋_GB2312" w:eastAsia="仿宋_GB2312" w:cs="仿宋_GB2312"/>
          <w:color w:val="000000"/>
          <w:sz w:val="32"/>
          <w:szCs w:val="32"/>
        </w:rPr>
        <w:t>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pPr>
        <w:autoSpaceDE w:val="0"/>
        <w:autoSpaceDN w:val="0"/>
        <w:adjustRightInd w:val="0"/>
        <w:spacing w:line="52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2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2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2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2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2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2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2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2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2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2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pPr>
        <w:autoSpaceDE w:val="0"/>
        <w:autoSpaceDN w:val="0"/>
        <w:adjustRightInd w:val="0"/>
        <w:spacing w:line="52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20" w:lineRule="exact"/>
        <w:ind w:firstLine="640" w:firstLineChars="200"/>
        <w:jc w:val="left"/>
        <w:rPr>
          <w:rFonts w:hint="eastAsia" w:ascii="方正小标宋简体" w:eastAsia="方正小标宋简体"/>
          <w:color w:val="000000"/>
          <w:sz w:val="36"/>
          <w:szCs w:val="36"/>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pPr>
        <w:spacing w:line="560" w:lineRule="exact"/>
        <w:ind w:firstLine="640" w:firstLineChars="200"/>
        <w:rPr>
          <w:rFonts w:hint="eastAsia" w:ascii="黑体" w:eastAsia="黑体"/>
          <w:color w:val="000000"/>
          <w:sz w:val="32"/>
          <w:szCs w:val="32"/>
        </w:rPr>
      </w:pPr>
    </w:p>
    <w:p>
      <w:p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方工业大学为公益二类事业单位，主要职责为培养高等学历人才，促进科技文化发展，培养机械工程、信息与通信工程、电气工程、电子科学与技术、计算机科学与技术、建筑学、土木工程、工商管理等学科本科、研究生学历教育人才及进行相关非学历教育培训等。</w:t>
      </w:r>
    </w:p>
    <w:p>
      <w:pPr>
        <w:spacing w:line="560" w:lineRule="exact"/>
        <w:ind w:firstLine="640" w:firstLineChars="200"/>
        <w:rPr>
          <w:rFonts w:hint="eastAsia" w:ascii="仿宋_GB2312" w:eastAsia="仿宋_GB2312"/>
          <w:color w:val="1F3864"/>
          <w:sz w:val="24"/>
        </w:rPr>
      </w:pPr>
      <w:r>
        <w:rPr>
          <w:rFonts w:hint="eastAsia" w:ascii="楷体_GB2312" w:eastAsia="楷体_GB2312"/>
          <w:color w:val="000000"/>
          <w:sz w:val="32"/>
          <w:szCs w:val="32"/>
        </w:rPr>
        <w:t>（二）机构设置情况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方工业大学内设37个机构，分别为：学校办公室（党委办公室、校长办公室、档案馆、巡查办公室、保密办公室、校友工作办公室）、党委组织部（党校）、党委宣传部、党委统战部、纪检监察办公室、工会、审计处、离退休工作处（离退休党委）、发展规划与学科建设处 、国际合作与交流处（港澳台事务办公室、国际学院）、人事处（教师工作部）、教务处（数字产业学院）、招生就业处、科学技术研究院（科技成果转化中心）、研究生院、学生工作部（处）（研究生工作部、武装部）、团委、财务处、安全稳定工作部（处）、资产与实验室安全管理处（招标采购办公室）、后勤基建处、延庆创新港管理委员会办公室、图书馆、网络安全与信息化中心、信息学院、电气与控制工程学院（无人机学院）、机械与材料工程学院、建筑与艺术学院、土木工程学院、经济管理学院、文法学院、理学院、马克思主义学院、伦敦布鲁内尔学院、储能科学与工程学院、继续教育学院（培训中心）、集成电路学院。</w:t>
      </w:r>
    </w:p>
    <w:p>
      <w:pPr>
        <w:spacing w:line="56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北方工业大学行政编制0人，实际0人；事业编制1078人，实际1031人；聘用人员（其他聘用人员--临时工）221人。离退休人员643人，其中：离休3人，退休640人。</w:t>
      </w:r>
    </w:p>
    <w:p>
      <w:pPr>
        <w:ind w:firstLine="640" w:firstLineChars="200"/>
        <w:rPr>
          <w:rFonts w:hint="eastAsia" w:ascii="仿宋_GB2312" w:eastAsia="仿宋_GB2312"/>
          <w:color w:val="1F3864"/>
          <w:sz w:val="24"/>
        </w:rPr>
      </w:pPr>
      <w:r>
        <w:rPr>
          <w:rFonts w:hint="eastAsia" w:ascii="黑体" w:eastAsia="黑体"/>
          <w:color w:val="000000"/>
          <w:sz w:val="32"/>
          <w:szCs w:val="32"/>
        </w:rPr>
        <w:t>二、收入预算情况说明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2025年度收入预算126397.07万元，比2024年年初预算数115603.26万元增加10793.81万元，增长9.34%。主要原因：一是学校加快促进科技创新与成果转化，</w:t>
      </w:r>
      <w:r>
        <w:rPr>
          <w:rFonts w:hint="eastAsia" w:ascii="仿宋_GB2312" w:hAnsi="仿宋_GB2312" w:eastAsia="仿宋_GB2312" w:cs="仿宋_GB2312"/>
          <w:sz w:val="32"/>
          <w:szCs w:val="32"/>
          <w:lang w:val="en-US" w:eastAsia="zh-CN"/>
        </w:rPr>
        <w:t>横向纵向</w:t>
      </w:r>
      <w:r>
        <w:rPr>
          <w:rFonts w:hint="eastAsia" w:ascii="仿宋_GB2312" w:hAnsi="仿宋_GB2312" w:eastAsia="仿宋_GB2312" w:cs="仿宋_GB2312"/>
          <w:sz w:val="32"/>
          <w:szCs w:val="32"/>
        </w:rPr>
        <w:t>科研</w:t>
      </w:r>
      <w:r>
        <w:rPr>
          <w:rFonts w:hint="eastAsia" w:ascii="仿宋_GB2312" w:hAnsi="仿宋_GB2312" w:eastAsia="仿宋_GB2312" w:cs="仿宋_GB2312"/>
          <w:sz w:val="32"/>
          <w:szCs w:val="32"/>
          <w:lang w:val="en-US" w:eastAsia="zh-CN"/>
        </w:rPr>
        <w:t>项目创</w:t>
      </w:r>
      <w:r>
        <w:rPr>
          <w:rFonts w:hint="eastAsia" w:ascii="仿宋_GB2312" w:hAnsi="仿宋_GB2312" w:eastAsia="仿宋_GB2312" w:cs="仿宋_GB2312"/>
          <w:sz w:val="32"/>
          <w:szCs w:val="32"/>
        </w:rPr>
        <w:t>收增加；二是进一步加强非财政拨款资金管理，将所有非财政拨款资金全部纳入年度预算管理。</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（一）本年财政拨款收入84683.79万元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1.一般公共预算拨款收入84683.79万元。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2.政府性基金预算拨款收入0万元。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3.国有资本经营预算拨款收入0万元。</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（二）本年其他资金收入38560.00万元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4.财政专户管理资金收入12600.00万元。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5.事业收入22640.00万元。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6.上级补助收入0万元。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7.附属单位上缴收入0万元。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8.事业单位经营收入100.00万元。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9.其他收入3220.00万元。</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（三）上年结转结余3153.28万元</w:t>
      </w:r>
    </w:p>
    <w:p>
      <w:pPr>
        <w:spacing w:line="560" w:lineRule="exact"/>
        <w:ind w:firstLine="640" w:firstLineChars="200"/>
      </w:pPr>
      <w:r>
        <w:rPr>
          <w:rFonts w:hint="eastAsia" w:ascii="仿宋_GB2312" w:eastAsia="仿宋_GB2312"/>
          <w:sz w:val="32"/>
          <w:szCs w:val="32"/>
        </w:rPr>
        <w:t>10.上年结转结余3153.28万元。</w:t>
      </w:r>
    </w:p>
    <w:p>
      <w:pPr>
        <w:pStyle w:val="2"/>
        <w:jc w:val="center"/>
        <w:rPr>
          <w:rFonts w:hint="eastAsia" w:ascii="仿宋_GB2312" w:eastAsia="仿宋_GB2312"/>
          <w:sz w:val="32"/>
        </w:rPr>
      </w:pPr>
      <w:r>
        <w:drawing>
          <wp:inline distT="0" distB="0" distL="114300" distR="114300">
            <wp:extent cx="4819650" cy="2857500"/>
            <wp:effectExtent l="0" t="0" r="0" b="0"/>
            <wp:docPr id="1" name="图表 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hint="eastAsia" w:ascii="仿宋_GB2312" w:eastAsia="仿宋_GB2312"/>
          <w:b w:val="0"/>
          <w:bCs w:val="0"/>
          <w:sz w:val="32"/>
        </w:rPr>
      </w:pPr>
      <w:r>
        <w:rPr>
          <w:rFonts w:hint="eastAsia" w:ascii="仿宋_GB2312" w:eastAsia="仿宋_GB2312"/>
          <w:sz w:val="32"/>
        </w:rPr>
        <w:t>图1：收入预算</w:t>
      </w:r>
    </w:p>
    <w:p>
      <w:pPr>
        <w:ind w:firstLine="640" w:firstLineChars="200"/>
        <w:rPr>
          <w:rFonts w:hint="eastAsia" w:ascii="仿宋_GB2312" w:eastAsia="仿宋_GB2312"/>
          <w:color w:val="1F3864"/>
          <w:sz w:val="24"/>
        </w:rPr>
      </w:pPr>
      <w:r>
        <w:rPr>
          <w:rFonts w:hint="eastAsia" w:ascii="黑体" w:eastAsia="黑体"/>
          <w:sz w:val="32"/>
          <w:szCs w:val="32"/>
        </w:rPr>
        <w:t>三、支出预算情况说明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2025年支出预算126397.07万元，比2024年年初预算数115603.26万元增加10793.81万元，增长9.34%。主要原因：一是学生人数增长导致运行经费增加；二是横向纵向课题等科研项目支出增加。</w:t>
      </w:r>
    </w:p>
    <w:p>
      <w:pPr>
        <w:spacing w:line="56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（一）基本支出。</w:t>
      </w:r>
      <w:r>
        <w:rPr>
          <w:rFonts w:hint="eastAsia" w:ascii="仿宋_GB2312" w:hAnsi="仿宋_GB2312" w:eastAsia="仿宋_GB2312" w:cs="仿宋_GB2312"/>
          <w:sz w:val="32"/>
          <w:szCs w:val="32"/>
        </w:rPr>
        <w:t>基本支出预算113480.28万元，占本年支出预算89.78%，比2024年年初预算数107724.06万元增加5756.22万元，增长5.34%。</w:t>
      </w:r>
    </w:p>
    <w:p>
      <w:pPr>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项目支出预算12916.79万元，比2024年年初预算数7879.20万元增加5037.59万元，增长63.94%。其中：</w:t>
      </w:r>
    </w:p>
    <w:p>
      <w:pPr>
        <w:spacing w:line="560" w:lineRule="exact"/>
        <w:ind w:firstLine="640"/>
        <w:rPr>
          <w:rFonts w:hint="eastAsia" w:ascii="仿宋_GB2312" w:eastAsia="仿宋_GB2312"/>
          <w:sz w:val="32"/>
          <w:szCs w:val="32"/>
        </w:rPr>
      </w:pPr>
      <w:r>
        <w:rPr>
          <w:rFonts w:hint="eastAsia" w:ascii="仿宋_GB2312" w:eastAsia="仿宋_GB2312"/>
          <w:sz w:val="32"/>
          <w:szCs w:val="32"/>
        </w:rPr>
        <w:t>1.事业单位经营支出0万元。</w:t>
      </w:r>
    </w:p>
    <w:p>
      <w:pPr>
        <w:spacing w:line="560" w:lineRule="exact"/>
        <w:ind w:firstLine="640"/>
        <w:rPr>
          <w:rFonts w:hint="eastAsia" w:ascii="仿宋_GB2312" w:eastAsia="仿宋_GB2312"/>
          <w:sz w:val="32"/>
          <w:szCs w:val="32"/>
        </w:rPr>
      </w:pPr>
      <w:r>
        <w:rPr>
          <w:rFonts w:hint="eastAsia" w:ascii="仿宋_GB2312" w:eastAsia="仿宋_GB2312"/>
          <w:sz w:val="32"/>
          <w:szCs w:val="32"/>
        </w:rPr>
        <w:t>2.上缴上级支出0万元。</w:t>
      </w:r>
    </w:p>
    <w:p>
      <w:pPr>
        <w:spacing w:line="560" w:lineRule="exact"/>
        <w:ind w:firstLine="640"/>
        <w:rPr>
          <w:rFonts w:hint="eastAsia" w:ascii="仿宋_GB2312" w:eastAsia="仿宋_GB2312"/>
          <w:sz w:val="32"/>
          <w:szCs w:val="32"/>
        </w:rPr>
      </w:pPr>
      <w:r>
        <w:rPr>
          <w:rFonts w:hint="eastAsia" w:ascii="仿宋_GB2312" w:eastAsia="仿宋_GB2312"/>
          <w:sz w:val="32"/>
          <w:szCs w:val="32"/>
        </w:rPr>
        <w:t>3.对附属单位补助支出0万元。</w:t>
      </w:r>
    </w:p>
    <w:p>
      <w:pPr>
        <w:jc w:val="center"/>
      </w:pPr>
      <w:r>
        <w:drawing>
          <wp:inline distT="0" distB="0" distL="114300" distR="114300">
            <wp:extent cx="4819650" cy="2743200"/>
            <wp:effectExtent l="0" t="0" r="0" b="0"/>
            <wp:docPr id="2" name="图表 1"/>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sz w:val="32"/>
        </w:rPr>
      </w:pPr>
      <w:r>
        <w:rPr>
          <w:rFonts w:hint="eastAsia" w:ascii="仿宋_GB2312" w:eastAsia="仿宋_GB2312"/>
          <w:sz w:val="32"/>
        </w:rPr>
        <w:t>图2：基本支出和项目支出情况</w:t>
      </w:r>
    </w:p>
    <w:p>
      <w:pPr>
        <w:spacing w:line="56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（三）年终结转结余资金0万元</w:t>
      </w:r>
    </w:p>
    <w:p>
      <w:pPr>
        <w:spacing w:line="560" w:lineRule="exact"/>
        <w:ind w:firstLine="640" w:firstLineChars="200"/>
        <w:rPr>
          <w:rFonts w:hint="eastAsia"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北方工业大学因公出国（境）费用、公务接待费、公务用车购置和运行维护费开支单位包括1个所属单位。其他所属单位2025年无财政拨款安排的“三公”经费预算。</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2025年财政拨款“三公”经费预算14.70万元，与2024年财政拨款“三公”经费预算持平。其中：</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1.因公出国（境）费用。2025年预算数0万元，与2024年年初预算数0万元持平。</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2.公务接待费。2025年预算数6.00万元，与2024年年初预算数6.00万元持平。</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公务用车购置和运行维护费。2025年预算数8.70万元，包括：公务用车购置费2025年预算数0万元，与2024年年初预算数0万元持平；公务用车运行维护费2025年预算数8.70万元，其中：公务用车燃油0.50万元，公务用车维修1.50万元，公务用车保险2.50万元，其他支出4.20万元。公务用车运行维护费2025年预算数与2024年年初预算数8.70万元持平。</w:t>
      </w:r>
    </w:p>
    <w:p>
      <w:pPr>
        <w:spacing w:line="560" w:lineRule="exact"/>
        <w:ind w:firstLine="640" w:firstLineChars="200"/>
        <w:rPr>
          <w:rFonts w:hint="eastAsia" w:ascii="黑体" w:eastAsia="黑体"/>
          <w:sz w:val="32"/>
          <w:szCs w:val="32"/>
        </w:rPr>
      </w:pPr>
      <w:r>
        <w:rPr>
          <w:rFonts w:hint="eastAsia" w:ascii="黑体" w:eastAsia="黑体"/>
          <w:sz w:val="32"/>
          <w:szCs w:val="32"/>
        </w:rPr>
        <w:t>五、其他情况说明</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2025年北方工业大学政府采购预算总额27429.87万元，其中：政府采购货物预算8046.56万元，政府采购工程预算14454.09万元，政府采购服务预算4929.22万元。</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hint="eastAsia" w:ascii="仿宋_GB2312" w:eastAsia="仿宋_GB2312" w:cs="Droid Sans"/>
          <w:sz w:val="32"/>
          <w:szCs w:val="32"/>
        </w:rPr>
      </w:pPr>
      <w:r>
        <w:rPr>
          <w:rFonts w:hint="eastAsia" w:ascii="仿宋_GB2312" w:hAnsi="仿宋_GB2312" w:eastAsia="仿宋_GB2312" w:cs="仿宋_GB2312"/>
          <w:sz w:val="32"/>
          <w:szCs w:val="32"/>
        </w:rPr>
        <w:t>本单位2025年无政府购买服务预算。</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我单位不在机关运行经费统计范围之内。</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2025年，北方工业大学填报绩效目标的预算项目17个，占本单位本年预算项目17个的100%。填报绩效目标的项目支出预算10563.51万元，占本单位本年项目支出预算的100%</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本单位2025年无重点行政事业性收费。</w:t>
      </w:r>
    </w:p>
    <w:p>
      <w:pPr>
        <w:ind w:firstLine="640" w:firstLineChars="200"/>
        <w:rPr>
          <w:rFonts w:hint="eastAsia"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本单位2025年无国有资本经营预算财政拨款安排的预算。</w:t>
      </w:r>
    </w:p>
    <w:p>
      <w:pPr>
        <w:spacing w:line="560" w:lineRule="exact"/>
        <w:ind w:firstLine="640" w:firstLineChars="200"/>
        <w:rPr>
          <w:rFonts w:hint="eastAsia" w:ascii="仿宋_GB2312" w:eastAsia="仿宋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截至2024年底，北方工业大学共有车辆11台，共计166.76万元；单位价值50万元以上的设备189台（套）、共计17216.37万元。2025年预算安排中，购置单位价值50万元以上的设备2台（套），共计3989.55万元。</w:t>
      </w:r>
    </w:p>
    <w:p>
      <w:p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项目支出：指在基本支出之外为完成特定行政任务或事业发展目标所发生的支出。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br w:type="page"/>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pPr>
        <w:spacing w:line="560" w:lineRule="exact"/>
        <w:ind w:firstLine="640" w:firstLineChars="200"/>
        <w:rPr>
          <w:rFonts w:hint="eastAsia" w:ascii="仿宋_GB2312" w:eastAsia="仿宋_GB2312"/>
          <w:color w:val="000000"/>
          <w:sz w:val="32"/>
          <w:szCs w:val="32"/>
        </w:rPr>
      </w:pPr>
    </w:p>
    <w:p>
      <w:pPr>
        <w:spacing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附件：北方工业大学2025年度单位预算报表</w:t>
      </w:r>
      <w:r>
        <w:rPr>
          <w:rFonts w:hint="eastAsia" w:ascii="仿宋_GB2312" w:hAnsi="仿宋_GB2312" w:eastAsia="仿宋_GB2312" w:cs="仿宋_GB2312"/>
          <w:sz w:val="32"/>
          <w:szCs w:val="32"/>
          <w:lang w:val="zh-CN"/>
        </w:rPr>
        <w:t xml:space="preserve"> </w:t>
      </w:r>
    </w:p>
    <w:p>
      <w:pPr>
        <w:spacing w:line="560" w:lineRule="exact"/>
        <w:ind w:firstLine="640" w:firstLineChars="200"/>
        <w:rPr>
          <w:rFonts w:hint="eastAsia" w:ascii="仿宋_GB2312" w:eastAsia="仿宋_GB2312"/>
          <w:color w:val="000000"/>
          <w:sz w:val="32"/>
          <w:szCs w:val="32"/>
        </w:rPr>
      </w:pPr>
    </w:p>
    <w:p>
      <w:pPr>
        <w:rPr>
          <w:rFonts w:hint="eastAsia" w:ascii="仿宋_GB2312"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Droid Sans">
    <w:altName w:val="华文中宋"/>
    <w:panose1 w:val="00000000000000000000"/>
    <w:charset w:val="00"/>
    <w:family w:val="auto"/>
    <w:pitch w:val="default"/>
    <w:sig w:usb0="00000000" w:usb1="00000000" w:usb2="00000000" w:usb3="00000000" w:csb0="00040001" w:csb1="00000000"/>
  </w:font>
  <w:font w:name="Cambria">
    <w:panose1 w:val="02040803050406030204"/>
    <w:charset w:val="00"/>
    <w:family w:val="roman"/>
    <w:pitch w:val="default"/>
    <w:sig w:usb0="E00006FF" w:usb1="4000045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false">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cuUwfbQBAABSAwAADgAAAAAAAAABACAAAAA0AQAAZHJzL2Uyb0Rv&#10;Yy54bWxQSwUGAAAAAAYABgBZAQAAWgU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iZDNkMzlkNjJmMDcwMDQ3MjhjM2M2MTk0YjJkYzgifQ=="/>
  </w:docVars>
  <w:rsids>
    <w:rsidRoot w:val="00797F79"/>
    <w:rsid w:val="001B7482"/>
    <w:rsid w:val="0032325C"/>
    <w:rsid w:val="003B77CA"/>
    <w:rsid w:val="005850E6"/>
    <w:rsid w:val="006477E4"/>
    <w:rsid w:val="006F3CD8"/>
    <w:rsid w:val="008A2E8D"/>
    <w:rsid w:val="008D29DC"/>
    <w:rsid w:val="009B2F32"/>
    <w:rsid w:val="009F505C"/>
    <w:rsid w:val="00E509C5"/>
    <w:rsid w:val="00FA4AC0"/>
    <w:rsid w:val="011578CC"/>
    <w:rsid w:val="01DE318D"/>
    <w:rsid w:val="03CE66A0"/>
    <w:rsid w:val="09894512"/>
    <w:rsid w:val="0EFFF08B"/>
    <w:rsid w:val="0F491593"/>
    <w:rsid w:val="10A5627E"/>
    <w:rsid w:val="1556FFE7"/>
    <w:rsid w:val="1D7B2BEA"/>
    <w:rsid w:val="1E2F585A"/>
    <w:rsid w:val="1FB9016F"/>
    <w:rsid w:val="1FE6D21C"/>
    <w:rsid w:val="23735A5C"/>
    <w:rsid w:val="2F731B75"/>
    <w:rsid w:val="2F7EA178"/>
    <w:rsid w:val="2FEFCACA"/>
    <w:rsid w:val="2FF31CCC"/>
    <w:rsid w:val="33BF5DDC"/>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7D5AD8"/>
    <w:rsid w:val="3FBA30DB"/>
    <w:rsid w:val="3FBFE16E"/>
    <w:rsid w:val="3FF7F9C0"/>
    <w:rsid w:val="3FFBC816"/>
    <w:rsid w:val="438D45E6"/>
    <w:rsid w:val="484900D5"/>
    <w:rsid w:val="48D44964"/>
    <w:rsid w:val="4CD68066"/>
    <w:rsid w:val="4E67CE40"/>
    <w:rsid w:val="4F6D150F"/>
    <w:rsid w:val="4FEE37C7"/>
    <w:rsid w:val="4FFB9147"/>
    <w:rsid w:val="517E78AA"/>
    <w:rsid w:val="53DF3E7F"/>
    <w:rsid w:val="545DF6FA"/>
    <w:rsid w:val="551E3F35"/>
    <w:rsid w:val="55DE48F6"/>
    <w:rsid w:val="57ADBE82"/>
    <w:rsid w:val="57E332DD"/>
    <w:rsid w:val="57E9CD93"/>
    <w:rsid w:val="57EB425A"/>
    <w:rsid w:val="58D72319"/>
    <w:rsid w:val="59D7A30C"/>
    <w:rsid w:val="5A664C9A"/>
    <w:rsid w:val="5BEE7D82"/>
    <w:rsid w:val="5BFC36A8"/>
    <w:rsid w:val="5D005E84"/>
    <w:rsid w:val="5F5F35ED"/>
    <w:rsid w:val="5FB4B9F0"/>
    <w:rsid w:val="5FBA6CF8"/>
    <w:rsid w:val="5FD532B6"/>
    <w:rsid w:val="5FE95128"/>
    <w:rsid w:val="5FF3352E"/>
    <w:rsid w:val="5FFFD6B5"/>
    <w:rsid w:val="67BF653D"/>
    <w:rsid w:val="67FBD21B"/>
    <w:rsid w:val="69CDDFC6"/>
    <w:rsid w:val="6AB14817"/>
    <w:rsid w:val="6AFBD4E9"/>
    <w:rsid w:val="6BFE087F"/>
    <w:rsid w:val="6BFF83C2"/>
    <w:rsid w:val="6C5F4E7D"/>
    <w:rsid w:val="6D3F2E98"/>
    <w:rsid w:val="6DFE07CC"/>
    <w:rsid w:val="6DFFB2B9"/>
    <w:rsid w:val="6ECB6C3E"/>
    <w:rsid w:val="6F3A9571"/>
    <w:rsid w:val="6FCDA027"/>
    <w:rsid w:val="6FDC71A3"/>
    <w:rsid w:val="6FDC8289"/>
    <w:rsid w:val="71436FB8"/>
    <w:rsid w:val="71FF8133"/>
    <w:rsid w:val="729DB731"/>
    <w:rsid w:val="732F9AB6"/>
    <w:rsid w:val="73A5D6F8"/>
    <w:rsid w:val="74FD455A"/>
    <w:rsid w:val="75D907AF"/>
    <w:rsid w:val="763ED7FC"/>
    <w:rsid w:val="767F6AF6"/>
    <w:rsid w:val="767FBCC8"/>
    <w:rsid w:val="76FE24ED"/>
    <w:rsid w:val="775748F9"/>
    <w:rsid w:val="77773C62"/>
    <w:rsid w:val="777F4630"/>
    <w:rsid w:val="77DF7EB6"/>
    <w:rsid w:val="77FABEEF"/>
    <w:rsid w:val="77FC8AD8"/>
    <w:rsid w:val="77FFC18C"/>
    <w:rsid w:val="77FFEDC5"/>
    <w:rsid w:val="78F52093"/>
    <w:rsid w:val="797F48DA"/>
    <w:rsid w:val="79CFCA19"/>
    <w:rsid w:val="7B2E7344"/>
    <w:rsid w:val="7B503CA9"/>
    <w:rsid w:val="7B5B4466"/>
    <w:rsid w:val="7B8DB0E0"/>
    <w:rsid w:val="7BD7C5D4"/>
    <w:rsid w:val="7BDE2E6D"/>
    <w:rsid w:val="7BFAEA32"/>
    <w:rsid w:val="7C9BB5BA"/>
    <w:rsid w:val="7CA5738C"/>
    <w:rsid w:val="7CFF2D90"/>
    <w:rsid w:val="7D629DCE"/>
    <w:rsid w:val="7D7E1C9B"/>
    <w:rsid w:val="7DAF9F6F"/>
    <w:rsid w:val="7DDF7761"/>
    <w:rsid w:val="7DDFEE83"/>
    <w:rsid w:val="7DFBA975"/>
    <w:rsid w:val="7E7F7957"/>
    <w:rsid w:val="7EBE6155"/>
    <w:rsid w:val="7F3BE6B0"/>
    <w:rsid w:val="7F3F94D5"/>
    <w:rsid w:val="7F3FC408"/>
    <w:rsid w:val="7F7AD461"/>
    <w:rsid w:val="7F9BB94C"/>
    <w:rsid w:val="7FB5D6F6"/>
    <w:rsid w:val="7FCD88E5"/>
    <w:rsid w:val="7FF59EC3"/>
    <w:rsid w:val="7FF9E7AB"/>
    <w:rsid w:val="7FFA4ACA"/>
    <w:rsid w:val="7FFF1AF0"/>
    <w:rsid w:val="7FFFFE22"/>
    <w:rsid w:val="923DB5D2"/>
    <w:rsid w:val="97EF9245"/>
    <w:rsid w:val="9B6FD390"/>
    <w:rsid w:val="9BFF5F19"/>
    <w:rsid w:val="9F75BF60"/>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DEF20CF"/>
    <w:rsid w:val="BEEF0D30"/>
    <w:rsid w:val="BEFF6650"/>
    <w:rsid w:val="BF7B23E6"/>
    <w:rsid w:val="BFBFE194"/>
    <w:rsid w:val="BFCFAEF2"/>
    <w:rsid w:val="BFD57FE1"/>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7FF22D7"/>
    <w:rsid w:val="E8FF6CA0"/>
    <w:rsid w:val="EB6F6027"/>
    <w:rsid w:val="EBBD09D3"/>
    <w:rsid w:val="ECBFB19E"/>
    <w:rsid w:val="EF3D4EF9"/>
    <w:rsid w:val="EF7778AA"/>
    <w:rsid w:val="EFDB4341"/>
    <w:rsid w:val="EFDB7C9A"/>
    <w:rsid w:val="EFEF30CE"/>
    <w:rsid w:val="EFFD6B90"/>
    <w:rsid w:val="EFFF9813"/>
    <w:rsid w:val="F279611C"/>
    <w:rsid w:val="F3F77884"/>
    <w:rsid w:val="F51E3B23"/>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EE794A5"/>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 w:val="FFFF7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Balloon Text"/>
    <w:basedOn w:val="1"/>
    <w:link w:val="10"/>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字符"/>
    <w:link w:val="4"/>
    <w:qFormat/>
    <w:uiPriority w:val="0"/>
    <w:rPr>
      <w:rFonts w:ascii="Times New Roman" w:hAnsi="Times New Roman"/>
      <w:kern w:val="2"/>
      <w:sz w:val="18"/>
      <w:szCs w:val="18"/>
    </w:rPr>
  </w:style>
  <w:style w:type="character" w:customStyle="1" w:styleId="11">
    <w:name w:val="页脚 字符"/>
    <w:link w:val="5"/>
    <w:qFormat/>
    <w:uiPriority w:val="99"/>
    <w:rPr>
      <w:rFonts w:ascii="Times New Roman" w:hAnsi="Times New Roman"/>
      <w:kern w:val="2"/>
      <w:sz w:val="18"/>
    </w:rPr>
  </w:style>
  <w:style w:type="character" w:customStyle="1" w:styleId="12">
    <w:name w:val="页眉 字符"/>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file:///C:\Users\Admin\Desktop\&#37096;&#38376;&#39044;&#31639;&#33609;&#26696;&#25253;&#34920;%20&#30340;&#21103;&#26412;-2025&#24180;&#39044;&#31639;&#25209;&#22797;.xlsx"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Admin\Desktop\&#37096;&#38376;&#39044;&#31639;&#33609;&#26696;&#25253;&#34920;%20&#30340;&#21103;&#26412;-2025&#24180;&#39044;&#31639;&#25209;&#2279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true" forceAA="false"/>
          <a:lstStyle/>
          <a:p>
            <a:pPr>
              <a:defRPr lang="zh-CN" sz="14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t>收入预算</a:t>
            </a:r>
          </a:p>
        </c:rich>
      </c:tx>
      <c:layout/>
      <c:overlay val="false"/>
      <c:spPr>
        <a:noFill/>
        <a:ln>
          <a:noFill/>
        </a:ln>
        <a:effectLst/>
      </c:spPr>
    </c:title>
    <c:autoTitleDeleted val="false"/>
    <c:plotArea>
      <c:layout/>
      <c:pieChart>
        <c:varyColors val="true"/>
        <c:ser>
          <c:idx val="1"/>
          <c:order val="0"/>
          <c:tx>
            <c:strRef>
              <c:f>'[部门预算草案报表 的副本-2025年预算批复.xlsx]01收支总表'!$I$7</c:f>
              <c:strCache>
                <c:ptCount val="1"/>
                <c:pt idx="0">
                  <c:v>百分比</c:v>
                </c:pt>
              </c:strCache>
            </c:strRef>
          </c:tx>
          <c:spPr/>
          <c:explosion val="0"/>
          <c:dPt>
            <c:idx val="0"/>
            <c:bubble3D val="false"/>
            <c:spPr>
              <a:solidFill>
                <a:srgbClr val="4F81BD"/>
              </a:solidFill>
              <a:ln>
                <a:solidFill>
                  <a:srgbClr val="FFFFFF"/>
                </a:solidFill>
              </a:ln>
              <a:effectLst/>
            </c:spPr>
          </c:dPt>
          <c:dPt>
            <c:idx val="1"/>
            <c:bubble3D val="false"/>
            <c:spPr>
              <a:solidFill>
                <a:srgbClr val="C0504D"/>
              </a:solidFill>
              <a:ln>
                <a:solidFill>
                  <a:srgbClr val="FFFFFF"/>
                </a:solidFill>
              </a:ln>
              <a:effectLst/>
            </c:spPr>
          </c:dPt>
          <c:dPt>
            <c:idx val="2"/>
            <c:bubble3D val="false"/>
            <c:spPr>
              <a:solidFill>
                <a:srgbClr val="9BBB59"/>
              </a:solidFill>
              <a:ln>
                <a:solidFill>
                  <a:srgbClr val="FFFFFF"/>
                </a:solidFill>
              </a:ln>
              <a:effectLst/>
            </c:spPr>
          </c:dPt>
          <c:dPt>
            <c:idx val="3"/>
            <c:bubble3D val="false"/>
            <c:spPr>
              <a:solidFill>
                <a:srgbClr val="8064A2"/>
              </a:solidFill>
              <a:ln>
                <a:solidFill>
                  <a:srgbClr val="FFFFFF"/>
                </a:solidFill>
              </a:ln>
              <a:effectLst/>
            </c:spPr>
          </c:dPt>
          <c:dPt>
            <c:idx val="4"/>
            <c:bubble3D val="false"/>
            <c:spPr>
              <a:solidFill>
                <a:srgbClr val="4BACC6"/>
              </a:solidFill>
              <a:ln>
                <a:solidFill>
                  <a:srgbClr val="FFFFFF"/>
                </a:solidFill>
              </a:ln>
              <a:effectLst/>
            </c:spPr>
          </c:dPt>
          <c:dPt>
            <c:idx val="5"/>
            <c:bubble3D val="false"/>
            <c:spPr>
              <a:solidFill>
                <a:srgbClr val="F79646"/>
              </a:solidFill>
              <a:ln>
                <a:solidFill>
                  <a:srgbClr val="FFFFFF"/>
                </a:solidFill>
              </a:ln>
              <a:effectLst/>
            </c:spPr>
          </c:dPt>
          <c:dLbls>
            <c:dLbl>
              <c:idx val="3"/>
              <c:layout>
                <c:manualLayout>
                  <c:x val="-0.0778790399489434"/>
                  <c:y val="0.064474868804647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4"/>
              <c:layout>
                <c:manualLayout>
                  <c:x val="0.0100823678973048"/>
                  <c:y val="0.0467877172998006"/>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5"/>
              <c:layout>
                <c:manualLayout>
                  <c:x val="0.0698194405984863"/>
                  <c:y val="0.0160262657944945"/>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numFmt formatCode="General" sourceLinked="true"/>
            <c:spPr>
              <a:noFill/>
              <a:ln>
                <a:noFill/>
              </a:ln>
              <a:effectLst/>
            </c:spPr>
            <c:txPr>
              <a:bodyPr rot="0" spcFirstLastPara="0" vertOverflow="ellipsis" vert="horz" wrap="square" lIns="38100" tIns="19050" rIns="38100" bIns="19050" anchor="ctr" anchorCtr="true" forceAA="false"/>
              <a:lstStyle/>
              <a:p>
                <a:pPr>
                  <a:defRPr lang="zh-CN" sz="10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round/>
                    </a:ln>
                    <a:effectLst/>
                  </c:spPr>
                </c15:leaderLines>
              </c:ext>
            </c:extLst>
          </c:dLbls>
          <c:cat>
            <c:strRef>
              <c:f>'[部门预算草案报表 的副本-2025年预算批复.xlsx]01收支总表'!$H$8:$H$13</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'[部门预算草案报表 的副本-2025年预算批复.xlsx]01收支总表'!$I$8:$I$13</c:f>
              <c:numCache>
                <c:formatCode>0.00%</c:formatCode>
                <c:ptCount val="6"/>
                <c:pt idx="0">
                  <c:v>0.669982196395858</c:v>
                </c:pt>
                <c:pt idx="1">
                  <c:v>0.0996858567885426</c:v>
                </c:pt>
                <c:pt idx="2">
                  <c:v>0.179118079181953</c:v>
                </c:pt>
                <c:pt idx="3">
                  <c:v>0.000791157593559862</c:v>
                </c:pt>
                <c:pt idx="4">
                  <c:v>0.0254752745126276</c:v>
                </c:pt>
                <c:pt idx="5">
                  <c:v>0.0249474355274595</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ayout/>
      <c:overlay val="false"/>
      <c:spPr>
        <a:noFill/>
        <a:ln>
          <a:noFill/>
        </a:ln>
        <a:effectLst/>
      </c:spPr>
      <c:txPr>
        <a:bodyPr rot="0" spcFirstLastPara="0" vertOverflow="ellipsis" vert="horz" wrap="square" anchor="ctr" anchorCtr="true" forceAA="false"/>
        <a:lstStyle/>
        <a:p>
          <a:pPr>
            <a:defRPr lang="zh-CN" sz="9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true"/>
    <c:dispBlanksAs val="gap"/>
    <c:showDLblsOverMax val="false"/>
  </c:chart>
  <c:spPr>
    <a:solidFill>
      <a:srgbClr val="FFFFFF"/>
    </a:solidFill>
    <a:ln w="9525" cap="flat" cmpd="sng" algn="ctr">
      <a:solidFill>
        <a:srgbClr val="808080">
          <a:lumMod val="50000"/>
          <a:lumOff val="50000"/>
          <a:alpha val="25000"/>
        </a:srgbClr>
      </a:solidFill>
      <a:round/>
    </a:ln>
    <a:effectLst/>
  </c:spPr>
  <c:txPr>
    <a:bodyPr/>
    <a:lstStyle/>
    <a:p>
      <a:pPr>
        <a:defRPr lang="zh-CN">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true"/>
    <c:plotArea>
      <c:layout/>
      <c:pieChart>
        <c:varyColors val="true"/>
        <c:ser>
          <c:idx val="1"/>
          <c:order val="0"/>
          <c:spPr/>
          <c:explosion val="0"/>
          <c:dPt>
            <c:idx val="0"/>
            <c:bubble3D val="false"/>
            <c:spPr>
              <a:solidFill>
                <a:srgbClr val="4F81BD"/>
              </a:solidFill>
              <a:ln>
                <a:solidFill>
                  <a:srgbClr val="FFFFFF"/>
                </a:solidFill>
              </a:ln>
              <a:effectLst/>
            </c:spPr>
          </c:dPt>
          <c:dPt>
            <c:idx val="1"/>
            <c:bubble3D val="false"/>
            <c:spPr>
              <a:solidFill>
                <a:srgbClr val="C0504D"/>
              </a:solidFill>
              <a:ln>
                <a:solidFill>
                  <a:srgbClr val="FFFFFF"/>
                </a:solidFill>
              </a:ln>
              <a:effectLst/>
            </c:spPr>
          </c:dPt>
          <c:dLbls>
            <c:numFmt formatCode="General" sourceLinked="true"/>
            <c:spPr>
              <a:noFill/>
              <a:ln>
                <a:noFill/>
              </a:ln>
              <a:effectLst/>
            </c:spPr>
            <c:txPr>
              <a:bodyPr rot="0" spcFirstLastPara="0" vertOverflow="ellipsis" vert="horz" wrap="square" lIns="38100" tIns="19050" rIns="38100" bIns="19050" anchor="ctr" anchorCtr="true" forceAA="false"/>
              <a:lstStyle/>
              <a:p>
                <a:pPr>
                  <a:defRPr lang="zh-CN" sz="10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inEnd"/>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round/>
                    </a:ln>
                    <a:effectLst/>
                  </c:spPr>
                </c15:leaderLines>
              </c:ext>
            </c:extLst>
          </c:dLbls>
          <c:cat>
            <c:strRef>
              <c:f>'[部门预算草案报表 的副本-2025年预算批复.xlsx]03支出总表'!$E$60:$E$61</c:f>
              <c:strCache>
                <c:ptCount val="2"/>
                <c:pt idx="0">
                  <c:v>基本支出</c:v>
                </c:pt>
                <c:pt idx="1">
                  <c:v>项目支出</c:v>
                </c:pt>
              </c:strCache>
            </c:strRef>
          </c:cat>
          <c:val>
            <c:numRef>
              <c:f>'[部门预算草案报表 的副本-2025年预算批复.xlsx]03支出总表'!$F$60:$F$61</c:f>
              <c:numCache>
                <c:formatCode>0.00%</c:formatCode>
                <c:ptCount val="2"/>
                <c:pt idx="0">
                  <c:v>0.897807842919102</c:v>
                </c:pt>
                <c:pt idx="1">
                  <c:v>0.102192157080898</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forceAA="false"/>
        <a:lstStyle/>
        <a:p>
          <a:pPr>
            <a:defRPr lang="zh-CN" sz="900" b="0" i="0" u="none" strike="noStrike" kern="1200" baseline="0">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true"/>
    <c:dispBlanksAs val="gap"/>
    <c:showDLblsOverMax val="false"/>
  </c:chart>
  <c:spPr>
    <a:solidFill>
      <a:srgbClr val="FFFFFF"/>
    </a:solidFill>
    <a:ln w="9525" cap="flat" cmpd="sng" algn="ctr">
      <a:solidFill>
        <a:srgbClr val="808080">
          <a:lumMod val="50000"/>
          <a:lumOff val="50000"/>
          <a:alpha val="25000"/>
        </a:srgbClr>
      </a:solidFill>
      <a:round/>
    </a:ln>
    <a:effectLst/>
  </c:spPr>
  <c:txPr>
    <a:bodyPr/>
    <a:lstStyle/>
    <a:p>
      <a:pPr>
        <a:defRPr lang="zh-CN">
          <a:solidFill>
            <a:srgbClr val="404040">
              <a:lumMod val="75000"/>
              <a:lumOff val="25000"/>
            </a:srgb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rgbClr val="FFFFFF"/>
      </a:solidFill>
      <a:gradFill>
        <a:gsLst>
          <a:gs pos="0">
            <a:srgbClr val="FFFFFF">
              <a:lumOff val="17500"/>
            </a:srgbClr>
          </a:gs>
          <a:gs pos="100000">
            <a:srgbClr val="FFFFFF"/>
          </a:gs>
        </a:gsLst>
        <a:lin ang="2700000" scaled="false"/>
      </a:gradFill>
      <a:gradFill>
        <a:gsLst>
          <a:gs pos="0">
            <a:srgbClr val="FFFFFF">
              <a:hueOff val="-2520000"/>
            </a:srgbClr>
          </a:gs>
          <a:gs pos="100000">
            <a:srgbClr val="FFFFFF"/>
          </a:gs>
        </a:gsLst>
        <a:lin ang="2700000" scaled="false"/>
      </a:gradFill>
    </a:fillStyleLst>
    <a:lnStyleLst>
      <a:ln w="12700" cap="flat" cmpd="sng" algn="ctr">
        <a:solidFill>
          <a:srgbClr val="FFFFFF"/>
        </a:solidFill>
        <a:prstDash val="solid"/>
        <a:miter lim="800000"/>
      </a:ln>
      <a:ln w="12700" cap="flat" cmpd="sng" algn="ctr">
        <a:solidFill>
          <a:srgbClr val="FFFFFF"/>
        </a:solidFill>
        <a:prstDash val="solid"/>
        <a:miter lim="800000"/>
      </a:ln>
      <a:ln w="12700" cap="flat" cmpd="sng" algn="ctr">
        <a:gradFill>
          <a:gsLst>
            <a:gs pos="0">
              <a:srgbClr val="FFFFFF">
                <a:hueOff val="-4200000"/>
              </a:srgbClr>
            </a:gs>
            <a:gs pos="100000">
              <a:srgbClr val="FFFFFF"/>
            </a:gs>
          </a:gsLst>
          <a:lin ang="2700000" scaled="true"/>
        </a:gradFill>
        <a:prstDash val="solid"/>
        <a:miter lim="800000"/>
      </a:ln>
    </a:lnStyleLst>
    <a:effectStyleLst>
      <a:effectStyle>
        <a:effectLst>
          <a:outerShdw blurRad="101600" dist="50800" dir="5400000" algn="ctr" rotWithShape="0">
            <a:srgbClr val="FFFFFF">
              <a:alpha val="60000"/>
            </a:srgb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rgbClr val="FFFFFF"/>
      </a:solidFill>
      <a:solidFill>
        <a:srgbClr val="FFFFFF">
          <a:tint val="95000"/>
          <a:satMod val="170000"/>
        </a:srgbClr>
      </a:solidFill>
      <a:gradFill rotWithShape="true">
        <a:gsLst>
          <a:gs pos="0">
            <a:srgbClr val="FFFFFF">
              <a:tint val="93000"/>
              <a:satMod val="150000"/>
              <a:shade val="98000"/>
              <a:lumMod val="102000"/>
            </a:srgbClr>
          </a:gs>
          <a:gs pos="50000">
            <a:srgbClr val="FBFBFB">
              <a:tint val="98000"/>
              <a:satMod val="130000"/>
              <a:shade val="90000"/>
              <a:lumMod val="103000"/>
            </a:srgbClr>
          </a:gs>
          <a:gs pos="100000">
            <a:srgbClr val="D0D0D0">
              <a:shade val="63000"/>
              <a:satMod val="120000"/>
            </a:srgbClr>
          </a:gs>
        </a:gsLst>
        <a:lin ang="5400000" scaled="false"/>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rgbClr val="FFFFFF"/>
      </a:solidFill>
      <a:gradFill>
        <a:gsLst>
          <a:gs pos="0">
            <a:srgbClr val="FFFFFF">
              <a:lumOff val="17500"/>
            </a:srgbClr>
          </a:gs>
          <a:gs pos="100000">
            <a:srgbClr val="FFFFFF"/>
          </a:gs>
        </a:gsLst>
        <a:lin ang="2700000" scaled="false"/>
      </a:gradFill>
      <a:gradFill>
        <a:gsLst>
          <a:gs pos="0">
            <a:srgbClr val="FFFFFF">
              <a:hueOff val="-2520000"/>
            </a:srgbClr>
          </a:gs>
          <a:gs pos="100000">
            <a:srgbClr val="FFFFFF"/>
          </a:gs>
        </a:gsLst>
        <a:lin ang="2700000" scaled="false"/>
      </a:gradFill>
    </a:fillStyleLst>
    <a:lnStyleLst>
      <a:ln w="12700" cap="flat" cmpd="sng" algn="ctr">
        <a:solidFill>
          <a:srgbClr val="FFFFFF"/>
        </a:solidFill>
        <a:prstDash val="solid"/>
        <a:miter lim="800000"/>
      </a:ln>
      <a:ln w="12700" cap="flat" cmpd="sng" algn="ctr">
        <a:solidFill>
          <a:srgbClr val="FFFFFF"/>
        </a:solidFill>
        <a:prstDash val="solid"/>
        <a:miter lim="800000"/>
      </a:ln>
      <a:ln w="12700" cap="flat" cmpd="sng" algn="ctr">
        <a:gradFill>
          <a:gsLst>
            <a:gs pos="0">
              <a:srgbClr val="FFFFFF">
                <a:hueOff val="-4200000"/>
              </a:srgbClr>
            </a:gs>
            <a:gs pos="100000">
              <a:srgbClr val="FFFFFF"/>
            </a:gs>
          </a:gsLst>
          <a:lin ang="2700000" scaled="true"/>
        </a:gradFill>
        <a:prstDash val="solid"/>
        <a:miter lim="800000"/>
      </a:ln>
    </a:lnStyleLst>
    <a:effectStyleLst>
      <a:effectStyle>
        <a:effectLst>
          <a:outerShdw blurRad="101600" dist="50800" dir="5400000" algn="ctr" rotWithShape="0">
            <a:srgbClr val="FFFFFF">
              <a:alpha val="60000"/>
            </a:srgb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rgbClr val="FFFFFF"/>
      </a:solidFill>
      <a:solidFill>
        <a:srgbClr val="FFFFFF">
          <a:tint val="95000"/>
          <a:satMod val="170000"/>
        </a:srgbClr>
      </a:solidFill>
      <a:gradFill rotWithShape="true">
        <a:gsLst>
          <a:gs pos="0">
            <a:srgbClr val="FFFFFF">
              <a:tint val="93000"/>
              <a:satMod val="150000"/>
              <a:shade val="98000"/>
              <a:lumMod val="102000"/>
            </a:srgbClr>
          </a:gs>
          <a:gs pos="50000">
            <a:srgbClr val="FBFBFB">
              <a:tint val="98000"/>
              <a:satMod val="130000"/>
              <a:shade val="90000"/>
              <a:lumMod val="103000"/>
            </a:srgbClr>
          </a:gs>
          <a:gs pos="100000">
            <a:srgbClr val="D0D0D0">
              <a:shade val="63000"/>
              <a:satMod val="120000"/>
            </a:srgbClr>
          </a:gs>
        </a:gsLst>
        <a:lin ang="5400000" scaled="fals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2259</Words>
  <Characters>2642</Characters>
  <Lines>20</Lines>
  <Paragraphs>5</Paragraphs>
  <TotalTime>25</TotalTime>
  <ScaleCrop>false</ScaleCrop>
  <LinksUpToDate>false</LinksUpToDate>
  <CharactersWithSpaces>2666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2022-02-10T09:48:00Z</dcterms:created>
  <dc:creator>马荣丽</dc:creator>
  <cp:lastModifiedBy>18500299229</cp:lastModifiedBy>
  <cp:lastPrinted>2025-02-06T17:19:00Z</cp:lastPrinted>
  <dcterms:modified xsi:type="dcterms:W3CDTF">2025-03-05T09:53:24Z</dcterms:modified>
  <dc:title>处领导：</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E92EE1F1109C40D2989BA47B0BA8DC03_13</vt:lpwstr>
  </property>
  <property fmtid="{D5CDD505-2E9C-101B-9397-08002B2CF9AE}" pid="4" name="KSOTemplateDocerSaveRecord">
    <vt:lpwstr>eyJoZGlkIjoiYzI3NzA4NTU0YTBiMmYyMDkzZWZmYWMzN2JiOGUxNjciLCJ1c2VySWQiOiI2MDAyNzM4ODgifQ==</vt:lpwstr>
  </property>
</Properties>
</file>