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charts/colors1.xml" ContentType="application/vnd.ms-office.chartcolorstyle+xml"/>
  <Override PartName="/word/webSettings.xml" ContentType="application/vnd.openxmlformats-officedocument.wordprocessingml.webSettings+xml"/>
  <Override PartName="/word/charts/chart1.xml" ContentType="application/vnd.openxmlformats-officedocument.drawingml.chart+xml"/>
  <Default Extension="odttf" ContentType="application/vnd.openxmlformats-officedocument.obfuscatedFont"/>
  <Override PartName="/docProps/core.xml" ContentType="application/vnd.openxmlformats-package.core-properties+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C28" w:rsidRDefault="008D7157">
      <w:pPr>
        <w:pStyle w:val="1"/>
        <w:spacing w:line="240" w:lineRule="atLeast"/>
      </w:pPr>
      <w:r>
        <w:rPr>
          <w:rFonts w:hint="eastAsia"/>
        </w:rPr>
        <w:t>北京电影学院</w:t>
      </w:r>
      <w:r>
        <w:rPr>
          <w:rFonts w:hint="eastAsia"/>
        </w:rPr>
        <w:t>2025</w:t>
      </w:r>
      <w:r>
        <w:rPr>
          <w:rFonts w:hint="eastAsia"/>
        </w:rPr>
        <w:t>年度单位预算信息公开</w:t>
      </w:r>
    </w:p>
    <w:p w:rsidR="00C57C28" w:rsidRDefault="008D7157">
      <w:pPr>
        <w:spacing w:line="240" w:lineRule="atLeas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rsidR="00C57C28" w:rsidRDefault="008D7157">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w:t>
      </w:r>
      <w:r>
        <w:rPr>
          <w:rFonts w:ascii="黑体" w:eastAsia="黑体" w:hAnsi="黑体" w:cs="黑体" w:hint="eastAsia"/>
          <w:color w:val="000000"/>
          <w:sz w:val="32"/>
          <w:szCs w:val="32"/>
        </w:rPr>
        <w:t xml:space="preserve"> 2025</w:t>
      </w:r>
      <w:r>
        <w:rPr>
          <w:rFonts w:ascii="黑体" w:eastAsia="黑体" w:hAnsi="黑体" w:cs="黑体" w:hint="eastAsia"/>
          <w:color w:val="000000"/>
          <w:sz w:val="32"/>
          <w:szCs w:val="32"/>
        </w:rPr>
        <w:t>年度单位预算情况说明</w:t>
      </w:r>
    </w:p>
    <w:p w:rsidR="00C57C28" w:rsidRDefault="008D715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rsidR="00C57C28" w:rsidRDefault="008D715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C57C28" w:rsidRDefault="008D715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C57C28" w:rsidRDefault="008D715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C57C28" w:rsidRDefault="008D715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C57C28" w:rsidRDefault="008D715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C57C28" w:rsidRDefault="008D7157">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w:t>
      </w:r>
      <w:r>
        <w:rPr>
          <w:rFonts w:ascii="黑体" w:eastAsia="黑体" w:hAnsi="黑体" w:cs="黑体" w:hint="eastAsia"/>
          <w:color w:val="000000"/>
          <w:sz w:val="32"/>
          <w:szCs w:val="32"/>
        </w:rPr>
        <w:t xml:space="preserve"> 2025</w:t>
      </w:r>
      <w:r>
        <w:rPr>
          <w:rFonts w:ascii="黑体" w:eastAsia="黑体" w:hAnsi="黑体" w:cs="黑体" w:hint="eastAsia"/>
          <w:color w:val="000000"/>
          <w:sz w:val="32"/>
          <w:szCs w:val="32"/>
        </w:rPr>
        <w:t>年度单位预算报表</w:t>
      </w:r>
    </w:p>
    <w:p w:rsidR="00C57C28" w:rsidRDefault="008D715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C57C28" w:rsidRDefault="008D7157">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kern w:val="0"/>
          <w:sz w:val="32"/>
          <w:szCs w:val="32"/>
          <w:lang w:val="zh-CN"/>
        </w:rPr>
        <w:t>二、收入总表</w:t>
      </w:r>
      <w:r>
        <w:rPr>
          <w:rFonts w:ascii="仿宋_GB2312" w:eastAsia="仿宋_GB2312" w:hAnsi="仿宋_GB2312" w:cs="仿宋_GB2312" w:hint="eastAsia"/>
          <w:color w:val="000000"/>
          <w:kern w:val="0"/>
          <w:sz w:val="32"/>
          <w:szCs w:val="32"/>
          <w:lang w:val="zh-CN"/>
        </w:rPr>
        <w:t xml:space="preserve">    </w:t>
      </w:r>
    </w:p>
    <w:p w:rsidR="00C57C28" w:rsidRDefault="008D715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C57C28" w:rsidRDefault="008D715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C57C28" w:rsidRDefault="008D715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C57C28" w:rsidRDefault="008D715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C57C28" w:rsidRDefault="008D7157">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kern w:val="0"/>
          <w:sz w:val="32"/>
          <w:szCs w:val="32"/>
          <w:lang w:val="zh-CN"/>
        </w:rPr>
        <w:t>七、一般公共预算财政拨款支出表</w:t>
      </w:r>
    </w:p>
    <w:p w:rsidR="00C57C28" w:rsidRDefault="008D7157">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C57C28" w:rsidRDefault="008D715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C57C28" w:rsidRDefault="008D715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C57C28" w:rsidRDefault="008D715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十一、财政拨款“三公”经费支出表</w:t>
      </w:r>
    </w:p>
    <w:p w:rsidR="00C57C28" w:rsidRDefault="008D715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十二、政府购买服务预算财政拨款明细表</w:t>
      </w:r>
    </w:p>
    <w:p w:rsidR="00C57C28" w:rsidRDefault="008D715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C57C28" w:rsidRDefault="008D7157">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w:t>
      </w:r>
      <w:r>
        <w:rPr>
          <w:rFonts w:ascii="方正小标宋简体" w:eastAsia="方正小标宋简体" w:hint="eastAsia"/>
          <w:color w:val="000000"/>
          <w:sz w:val="36"/>
          <w:szCs w:val="36"/>
        </w:rPr>
        <w:t xml:space="preserve">  2025</w:t>
      </w:r>
      <w:r>
        <w:rPr>
          <w:rFonts w:ascii="方正小标宋简体" w:eastAsia="方正小标宋简体" w:hint="eastAsia"/>
          <w:color w:val="000000"/>
          <w:sz w:val="36"/>
          <w:szCs w:val="36"/>
        </w:rPr>
        <w:t>年度单位预算情况说明</w:t>
      </w:r>
    </w:p>
    <w:p w:rsidR="00C57C28" w:rsidRDefault="00C57C28">
      <w:pPr>
        <w:spacing w:line="560" w:lineRule="exact"/>
        <w:ind w:firstLineChars="200" w:firstLine="640"/>
        <w:rPr>
          <w:rFonts w:ascii="黑体" w:eastAsia="黑体"/>
          <w:color w:val="000000"/>
          <w:sz w:val="32"/>
          <w:szCs w:val="32"/>
        </w:rPr>
      </w:pPr>
    </w:p>
    <w:p w:rsidR="00C57C28" w:rsidRDefault="008D715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C57C28" w:rsidRDefault="008D715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C57C28" w:rsidRPr="008D7157" w:rsidRDefault="008D7157">
      <w:pPr>
        <w:widowControl/>
        <w:spacing w:line="560" w:lineRule="exact"/>
        <w:ind w:firstLineChars="200" w:firstLine="640"/>
        <w:jc w:val="left"/>
        <w:rPr>
          <w:rFonts w:ascii="仿宋_GB2312" w:eastAsia="仿宋_GB2312" w:hAnsi="仿宋" w:cs="宋体" w:hint="eastAsia"/>
          <w:color w:val="666666"/>
          <w:kern w:val="0"/>
          <w:sz w:val="32"/>
          <w:szCs w:val="32"/>
        </w:rPr>
      </w:pPr>
      <w:r w:rsidRPr="008D7157">
        <w:rPr>
          <w:rFonts w:ascii="仿宋_GB2312" w:eastAsia="仿宋_GB2312" w:hAnsi="仿宋" w:cs="宋体" w:hint="eastAsia"/>
          <w:color w:val="000000"/>
          <w:kern w:val="0"/>
          <w:sz w:val="32"/>
          <w:szCs w:val="32"/>
        </w:rPr>
        <w:t>北京电影学院为公益二类事业单位，主要职责为培养表演、导演、文学创作、电影摄影、图片摄影、电影美术、动画、录音艺术、文化事业管理、电影理论研究等高等艺术人才，促进艺术事业发展。</w:t>
      </w:r>
    </w:p>
    <w:p w:rsidR="00C57C28" w:rsidRDefault="008D715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C57C28" w:rsidRPr="008D7157" w:rsidRDefault="008D7157">
      <w:pPr>
        <w:widowControl/>
        <w:spacing w:line="560" w:lineRule="exact"/>
        <w:ind w:firstLineChars="200" w:firstLine="640"/>
        <w:jc w:val="left"/>
        <w:rPr>
          <w:rFonts w:ascii="仿宋_GB2312" w:eastAsia="仿宋_GB2312" w:hAnsi="仿宋" w:cs="宋体" w:hint="eastAsia"/>
          <w:color w:val="666666"/>
          <w:kern w:val="0"/>
          <w:sz w:val="32"/>
          <w:szCs w:val="32"/>
        </w:rPr>
      </w:pPr>
      <w:r w:rsidRPr="008D7157">
        <w:rPr>
          <w:rFonts w:ascii="仿宋_GB2312" w:eastAsia="仿宋_GB2312" w:hAnsi="仿宋" w:cs="宋体" w:hint="eastAsia"/>
          <w:color w:val="000000"/>
          <w:kern w:val="0"/>
          <w:sz w:val="32"/>
          <w:szCs w:val="32"/>
        </w:rPr>
        <w:t>学校内设二级机构</w:t>
      </w:r>
      <w:r w:rsidRPr="008D7157">
        <w:rPr>
          <w:rFonts w:ascii="仿宋_GB2312" w:eastAsia="仿宋_GB2312" w:hAnsi="仿宋" w:cs="宋体" w:hint="eastAsia"/>
          <w:color w:val="000000"/>
          <w:kern w:val="0"/>
          <w:sz w:val="32"/>
          <w:szCs w:val="32"/>
        </w:rPr>
        <w:t>43</w:t>
      </w:r>
      <w:r w:rsidRPr="008D7157">
        <w:rPr>
          <w:rFonts w:ascii="仿宋_GB2312" w:eastAsia="仿宋_GB2312" w:hAnsi="仿宋" w:cs="宋体" w:hint="eastAsia"/>
          <w:color w:val="000000"/>
          <w:kern w:val="0"/>
          <w:sz w:val="32"/>
          <w:szCs w:val="32"/>
        </w:rPr>
        <w:t>个。其中机关管理部门</w:t>
      </w:r>
      <w:r w:rsidRPr="008D7157">
        <w:rPr>
          <w:rFonts w:ascii="仿宋_GB2312" w:eastAsia="仿宋_GB2312" w:hAnsi="仿宋" w:cs="宋体" w:hint="eastAsia"/>
          <w:color w:val="000000"/>
          <w:kern w:val="0"/>
          <w:sz w:val="32"/>
          <w:szCs w:val="32"/>
        </w:rPr>
        <w:t>22</w:t>
      </w:r>
      <w:r w:rsidRPr="008D7157">
        <w:rPr>
          <w:rFonts w:ascii="仿宋_GB2312" w:eastAsia="仿宋_GB2312" w:hAnsi="仿宋" w:cs="宋体" w:hint="eastAsia"/>
          <w:color w:val="000000"/>
          <w:kern w:val="0"/>
          <w:sz w:val="32"/>
          <w:szCs w:val="32"/>
        </w:rPr>
        <w:t>个，分别是：学校党政办公室（统战部、怀柔校区管委会）、党委组织部、党委宣传部（教师工作部）、党委学工部（学生处、团委、</w:t>
      </w:r>
      <w:proofErr w:type="gramStart"/>
      <w:r w:rsidRPr="008D7157">
        <w:rPr>
          <w:rFonts w:ascii="仿宋_GB2312" w:eastAsia="仿宋_GB2312" w:hAnsi="仿宋" w:cs="宋体" w:hint="eastAsia"/>
          <w:color w:val="000000"/>
          <w:kern w:val="0"/>
          <w:sz w:val="32"/>
          <w:szCs w:val="32"/>
        </w:rPr>
        <w:t>研</w:t>
      </w:r>
      <w:proofErr w:type="gramEnd"/>
      <w:r w:rsidRPr="008D7157">
        <w:rPr>
          <w:rFonts w:ascii="仿宋_GB2312" w:eastAsia="仿宋_GB2312" w:hAnsi="仿宋" w:cs="宋体" w:hint="eastAsia"/>
          <w:color w:val="000000"/>
          <w:kern w:val="0"/>
          <w:sz w:val="32"/>
          <w:szCs w:val="32"/>
        </w:rPr>
        <w:t>工部）、党委保卫部（处）、纪委办公室（监察专员办公室）、党委巡察工作办公室、离退休工作办公室、工会、教务处（招生办公室）、研究生院、科研处、人事处、财务</w:t>
      </w:r>
      <w:r w:rsidRPr="008D7157">
        <w:rPr>
          <w:rFonts w:ascii="仿宋_GB2312" w:eastAsia="仿宋_GB2312" w:hAnsi="仿宋" w:cs="宋体" w:hint="eastAsia"/>
          <w:color w:val="000000"/>
          <w:kern w:val="0"/>
          <w:sz w:val="32"/>
          <w:szCs w:val="32"/>
        </w:rPr>
        <w:t>处、审计办公室、国有资产管理与信息化处、总务处、基建处、资产经营管理有限公司、校医院、电影国际传播中心、国际交流合作处。教学科研机构</w:t>
      </w:r>
      <w:r w:rsidRPr="008D7157">
        <w:rPr>
          <w:rFonts w:ascii="仿宋_GB2312" w:eastAsia="仿宋_GB2312" w:hAnsi="仿宋" w:cs="宋体" w:hint="eastAsia"/>
          <w:color w:val="000000"/>
          <w:kern w:val="0"/>
          <w:sz w:val="32"/>
          <w:szCs w:val="32"/>
        </w:rPr>
        <w:t>18</w:t>
      </w:r>
      <w:r w:rsidRPr="008D7157">
        <w:rPr>
          <w:rFonts w:ascii="仿宋_GB2312" w:eastAsia="仿宋_GB2312" w:hAnsi="仿宋" w:cs="宋体" w:hint="eastAsia"/>
          <w:color w:val="000000"/>
          <w:kern w:val="0"/>
          <w:sz w:val="32"/>
          <w:szCs w:val="32"/>
        </w:rPr>
        <w:t>个，分别是：文学系、导演系、表演学院、摄影系、美术学院、声音学院、管理学院、动画学院、摄影学院、电影学系、影视技术系、视听传媒学院、数字媒体学院、思想政治理论教学部、人文学部、中国电影文化研究院（中国电影教育研究中心）、高等职业教育学院（继续教育学院）、国际交流学院。教学辅助部门</w:t>
      </w:r>
      <w:r w:rsidRPr="008D7157">
        <w:rPr>
          <w:rFonts w:ascii="仿宋_GB2312" w:eastAsia="仿宋_GB2312" w:hAnsi="仿宋" w:cs="宋体" w:hint="eastAsia"/>
          <w:color w:val="000000"/>
          <w:kern w:val="0"/>
          <w:sz w:val="32"/>
          <w:szCs w:val="32"/>
        </w:rPr>
        <w:t>3</w:t>
      </w:r>
      <w:r w:rsidRPr="008D7157">
        <w:rPr>
          <w:rFonts w:ascii="仿宋_GB2312" w:eastAsia="仿宋_GB2312" w:hAnsi="仿宋" w:cs="宋体" w:hint="eastAsia"/>
          <w:color w:val="000000"/>
          <w:kern w:val="0"/>
          <w:sz w:val="32"/>
          <w:szCs w:val="32"/>
        </w:rPr>
        <w:t>个，分别是：图书馆、影视实验中心、创作实习处。</w:t>
      </w:r>
    </w:p>
    <w:p w:rsidR="00C57C28" w:rsidRDefault="008D715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（三）人员编制及实有情况</w:t>
      </w:r>
    </w:p>
    <w:p w:rsidR="00C57C28" w:rsidRPr="008D7157" w:rsidRDefault="008D7157">
      <w:pPr>
        <w:widowControl/>
        <w:spacing w:line="560" w:lineRule="exact"/>
        <w:ind w:firstLineChars="200" w:firstLine="640"/>
        <w:jc w:val="left"/>
        <w:rPr>
          <w:rFonts w:ascii="仿宋_GB2312" w:eastAsia="仿宋_GB2312" w:hAnsi="仿宋" w:hint="eastAsia"/>
          <w:sz w:val="32"/>
          <w:szCs w:val="32"/>
        </w:rPr>
      </w:pPr>
      <w:r w:rsidRPr="008D7157">
        <w:rPr>
          <w:rFonts w:ascii="仿宋_GB2312" w:eastAsia="仿宋_GB2312" w:hAnsi="仿宋" w:hint="eastAsia"/>
          <w:sz w:val="32"/>
          <w:szCs w:val="32"/>
        </w:rPr>
        <w:t>北京电影学院行政编制</w:t>
      </w:r>
      <w:r w:rsidRPr="008D7157">
        <w:rPr>
          <w:rFonts w:ascii="仿宋_GB2312" w:eastAsia="仿宋_GB2312" w:hAnsi="仿宋" w:hint="eastAsia"/>
          <w:sz w:val="32"/>
          <w:szCs w:val="32"/>
        </w:rPr>
        <w:t>0</w:t>
      </w:r>
      <w:r w:rsidRPr="008D7157">
        <w:rPr>
          <w:rFonts w:ascii="仿宋_GB2312" w:eastAsia="仿宋_GB2312" w:hAnsi="仿宋" w:hint="eastAsia"/>
          <w:sz w:val="32"/>
          <w:szCs w:val="32"/>
        </w:rPr>
        <w:t>人，实有人数</w:t>
      </w:r>
      <w:r w:rsidRPr="008D7157">
        <w:rPr>
          <w:rFonts w:ascii="仿宋_GB2312" w:eastAsia="仿宋_GB2312" w:hAnsi="仿宋" w:hint="eastAsia"/>
          <w:sz w:val="32"/>
          <w:szCs w:val="32"/>
        </w:rPr>
        <w:t>0</w:t>
      </w:r>
      <w:r w:rsidRPr="008D7157">
        <w:rPr>
          <w:rFonts w:ascii="仿宋_GB2312" w:eastAsia="仿宋_GB2312" w:hAnsi="仿宋" w:hint="eastAsia"/>
          <w:sz w:val="32"/>
          <w:szCs w:val="32"/>
        </w:rPr>
        <w:t>人；事业编制</w:t>
      </w:r>
      <w:r w:rsidRPr="008D7157">
        <w:rPr>
          <w:rFonts w:ascii="仿宋_GB2312" w:eastAsia="仿宋_GB2312" w:hAnsi="仿宋" w:hint="eastAsia"/>
          <w:sz w:val="32"/>
          <w:szCs w:val="32"/>
        </w:rPr>
        <w:t>753</w:t>
      </w:r>
      <w:r w:rsidRPr="008D7157">
        <w:rPr>
          <w:rFonts w:ascii="仿宋_GB2312" w:eastAsia="仿宋_GB2312" w:hAnsi="仿宋" w:hint="eastAsia"/>
          <w:sz w:val="32"/>
          <w:szCs w:val="32"/>
        </w:rPr>
        <w:t>人，实有在编人数</w:t>
      </w:r>
      <w:r w:rsidRPr="008D7157">
        <w:rPr>
          <w:rFonts w:ascii="仿宋_GB2312" w:eastAsia="仿宋_GB2312" w:hAnsi="仿宋" w:hint="eastAsia"/>
          <w:sz w:val="32"/>
          <w:szCs w:val="32"/>
        </w:rPr>
        <w:t>606</w:t>
      </w:r>
      <w:r w:rsidRPr="008D7157">
        <w:rPr>
          <w:rFonts w:ascii="仿宋_GB2312" w:eastAsia="仿宋_GB2312" w:hAnsi="仿宋" w:hint="eastAsia"/>
          <w:sz w:val="32"/>
          <w:szCs w:val="32"/>
        </w:rPr>
        <w:t>人；编外人员（其他聘用人员</w:t>
      </w:r>
      <w:r w:rsidRPr="008D7157">
        <w:rPr>
          <w:rFonts w:ascii="仿宋_GB2312" w:eastAsia="仿宋_GB2312" w:hAnsi="仿宋" w:cs="宋体" w:hint="eastAsia"/>
          <w:sz w:val="32"/>
          <w:szCs w:val="32"/>
        </w:rPr>
        <w:t>-</w:t>
      </w:r>
      <w:r w:rsidRPr="008D7157">
        <w:rPr>
          <w:rFonts w:ascii="仿宋_GB2312" w:eastAsia="仿宋_GB2312" w:hAnsi="仿宋" w:hint="eastAsia"/>
          <w:sz w:val="32"/>
          <w:szCs w:val="32"/>
        </w:rPr>
        <w:t>临时工）</w:t>
      </w:r>
      <w:r w:rsidRPr="008D7157">
        <w:rPr>
          <w:rFonts w:ascii="仿宋_GB2312" w:eastAsia="仿宋_GB2312" w:hAnsi="仿宋" w:hint="eastAsia"/>
          <w:sz w:val="32"/>
          <w:szCs w:val="32"/>
        </w:rPr>
        <w:t>120</w:t>
      </w:r>
      <w:r w:rsidRPr="008D7157">
        <w:rPr>
          <w:rFonts w:ascii="仿宋_GB2312" w:eastAsia="仿宋_GB2312" w:hAnsi="仿宋" w:hint="eastAsia"/>
          <w:sz w:val="32"/>
          <w:szCs w:val="32"/>
        </w:rPr>
        <w:t>人。离退休人员</w:t>
      </w:r>
      <w:r w:rsidRPr="008D7157">
        <w:rPr>
          <w:rFonts w:ascii="仿宋_GB2312" w:eastAsia="仿宋_GB2312" w:hAnsi="仿宋" w:hint="eastAsia"/>
          <w:sz w:val="32"/>
          <w:szCs w:val="32"/>
        </w:rPr>
        <w:t>448</w:t>
      </w:r>
      <w:r w:rsidRPr="008D7157">
        <w:rPr>
          <w:rFonts w:ascii="仿宋_GB2312" w:eastAsia="仿宋_GB2312" w:hAnsi="仿宋" w:hint="eastAsia"/>
          <w:sz w:val="32"/>
          <w:szCs w:val="32"/>
        </w:rPr>
        <w:t>人，其中：离休</w:t>
      </w:r>
      <w:r w:rsidRPr="008D7157">
        <w:rPr>
          <w:rFonts w:ascii="仿宋_GB2312" w:eastAsia="仿宋_GB2312" w:hAnsi="仿宋" w:hint="eastAsia"/>
          <w:sz w:val="32"/>
          <w:szCs w:val="32"/>
        </w:rPr>
        <w:t>0</w:t>
      </w:r>
      <w:r w:rsidRPr="008D7157">
        <w:rPr>
          <w:rFonts w:ascii="仿宋_GB2312" w:eastAsia="仿宋_GB2312" w:hAnsi="仿宋" w:hint="eastAsia"/>
          <w:sz w:val="32"/>
          <w:szCs w:val="32"/>
        </w:rPr>
        <w:t>人，退休</w:t>
      </w:r>
      <w:r w:rsidRPr="008D7157">
        <w:rPr>
          <w:rFonts w:ascii="仿宋_GB2312" w:eastAsia="仿宋_GB2312" w:hAnsi="仿宋" w:hint="eastAsia"/>
          <w:sz w:val="32"/>
          <w:szCs w:val="32"/>
        </w:rPr>
        <w:t>448</w:t>
      </w:r>
      <w:r w:rsidRPr="008D7157">
        <w:rPr>
          <w:rFonts w:ascii="仿宋_GB2312" w:eastAsia="仿宋_GB2312" w:hAnsi="仿宋" w:hint="eastAsia"/>
          <w:sz w:val="32"/>
          <w:szCs w:val="32"/>
        </w:rPr>
        <w:t>人。</w:t>
      </w:r>
    </w:p>
    <w:p w:rsidR="00C57C28" w:rsidRDefault="008D715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C57C28" w:rsidRPr="008D7157" w:rsidRDefault="008D7157">
      <w:pPr>
        <w:widowControl/>
        <w:spacing w:line="560" w:lineRule="exact"/>
        <w:ind w:firstLine="584"/>
        <w:jc w:val="left"/>
        <w:rPr>
          <w:rFonts w:ascii="仿宋_GB2312" w:eastAsia="仿宋_GB2312" w:hint="eastAsia"/>
          <w:sz w:val="32"/>
          <w:szCs w:val="32"/>
        </w:rPr>
      </w:pPr>
      <w:r w:rsidRPr="008D7157">
        <w:rPr>
          <w:rFonts w:ascii="仿宋_GB2312" w:eastAsia="仿宋_GB2312" w:hint="eastAsia"/>
          <w:sz w:val="32"/>
          <w:szCs w:val="32"/>
        </w:rPr>
        <w:t>2025</w:t>
      </w:r>
      <w:r w:rsidRPr="008D7157">
        <w:rPr>
          <w:rFonts w:ascii="仿宋_GB2312" w:eastAsia="仿宋_GB2312" w:hint="eastAsia"/>
          <w:sz w:val="32"/>
          <w:szCs w:val="32"/>
        </w:rPr>
        <w:t>年度收入预算</w:t>
      </w:r>
      <w:r w:rsidRPr="008D7157">
        <w:rPr>
          <w:rFonts w:ascii="仿宋_GB2312" w:eastAsia="仿宋_GB2312" w:hint="eastAsia"/>
          <w:sz w:val="32"/>
          <w:szCs w:val="32"/>
        </w:rPr>
        <w:t>86010.71</w:t>
      </w:r>
      <w:r w:rsidRPr="008D7157">
        <w:rPr>
          <w:rFonts w:ascii="仿宋_GB2312" w:eastAsia="仿宋_GB2312" w:hint="eastAsia"/>
          <w:sz w:val="32"/>
          <w:szCs w:val="32"/>
        </w:rPr>
        <w:t>万元，比</w:t>
      </w:r>
      <w:r w:rsidRPr="008D7157">
        <w:rPr>
          <w:rFonts w:ascii="仿宋_GB2312" w:eastAsia="仿宋_GB2312" w:hint="eastAsia"/>
          <w:sz w:val="32"/>
          <w:szCs w:val="32"/>
        </w:rPr>
        <w:t>2024</w:t>
      </w:r>
      <w:r w:rsidRPr="008D7157">
        <w:rPr>
          <w:rFonts w:ascii="仿宋_GB2312" w:eastAsia="仿宋_GB2312" w:hint="eastAsia"/>
          <w:sz w:val="32"/>
          <w:szCs w:val="32"/>
        </w:rPr>
        <w:t>年年初预算数</w:t>
      </w:r>
      <w:r w:rsidRPr="008D7157">
        <w:rPr>
          <w:rFonts w:ascii="仿宋_GB2312" w:eastAsia="仿宋_GB2312" w:hint="eastAsia"/>
          <w:sz w:val="32"/>
          <w:szCs w:val="32"/>
        </w:rPr>
        <w:t>81224.22</w:t>
      </w:r>
      <w:r w:rsidRPr="008D7157">
        <w:rPr>
          <w:rFonts w:ascii="仿宋_GB2312" w:eastAsia="仿宋_GB2312" w:hint="eastAsia"/>
          <w:sz w:val="32"/>
          <w:szCs w:val="32"/>
        </w:rPr>
        <w:t>万元增加</w:t>
      </w:r>
      <w:r w:rsidRPr="008D7157">
        <w:rPr>
          <w:rFonts w:ascii="仿宋_GB2312" w:eastAsia="仿宋_GB2312" w:hint="eastAsia"/>
          <w:sz w:val="32"/>
          <w:szCs w:val="32"/>
        </w:rPr>
        <w:t>4786.49</w:t>
      </w:r>
      <w:r w:rsidRPr="008D7157">
        <w:rPr>
          <w:rFonts w:ascii="仿宋_GB2312" w:eastAsia="仿宋_GB2312" w:hint="eastAsia"/>
          <w:sz w:val="32"/>
          <w:szCs w:val="32"/>
        </w:rPr>
        <w:t>万元，增长</w:t>
      </w:r>
      <w:r w:rsidRPr="008D7157">
        <w:rPr>
          <w:rFonts w:ascii="仿宋_GB2312" w:eastAsia="仿宋_GB2312" w:hint="eastAsia"/>
          <w:sz w:val="32"/>
          <w:szCs w:val="32"/>
        </w:rPr>
        <w:t>5.89%</w:t>
      </w:r>
      <w:r w:rsidRPr="008D7157">
        <w:rPr>
          <w:rFonts w:ascii="仿宋_GB2312" w:eastAsia="仿宋_GB2312" w:hint="eastAsia"/>
          <w:sz w:val="32"/>
          <w:szCs w:val="32"/>
        </w:rPr>
        <w:t>。主要原因是按照全口径预算管理要求，为进一步加强非财政拨款资金管理，将所有非财政拨款资金全部纳入年度预算管理。</w:t>
      </w:r>
    </w:p>
    <w:p w:rsidR="00C57C28" w:rsidRDefault="008D7157">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宋体" w:hAnsi="宋体" w:cs="宋体" w:hint="eastAsia"/>
          <w:sz w:val="32"/>
          <w:szCs w:val="32"/>
        </w:rPr>
        <w:t>34777.38</w:t>
      </w:r>
      <w:r>
        <w:rPr>
          <w:rFonts w:ascii="楷体_GB2312" w:eastAsia="楷体_GB2312" w:hint="eastAsia"/>
          <w:sz w:val="32"/>
          <w:szCs w:val="32"/>
        </w:rPr>
        <w:t>万元</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一般公共预算拨款收入</w:t>
      </w:r>
      <w:r>
        <w:rPr>
          <w:rFonts w:ascii="仿宋_GB2312" w:eastAsia="仿宋_GB2312" w:hint="eastAsia"/>
          <w:sz w:val="32"/>
          <w:szCs w:val="32"/>
        </w:rPr>
        <w:t>34777.38</w:t>
      </w:r>
      <w:r>
        <w:rPr>
          <w:rFonts w:ascii="仿宋_GB2312" w:eastAsia="仿宋_GB2312" w:hint="eastAsia"/>
          <w:sz w:val="32"/>
          <w:szCs w:val="32"/>
        </w:rPr>
        <w:t>万元。</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政府性基金预算拨款收入</w:t>
      </w:r>
      <w:r>
        <w:rPr>
          <w:rFonts w:ascii="仿宋_GB2312" w:eastAsia="仿宋_GB2312" w:hint="eastAsia"/>
          <w:sz w:val="32"/>
          <w:szCs w:val="32"/>
        </w:rPr>
        <w:t>0</w:t>
      </w:r>
      <w:r>
        <w:rPr>
          <w:rFonts w:ascii="仿宋_GB2312" w:eastAsia="仿宋_GB2312" w:hint="eastAsia"/>
          <w:sz w:val="32"/>
          <w:szCs w:val="32"/>
        </w:rPr>
        <w:t>万元。</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国有资本经营预算拨款收入</w:t>
      </w:r>
      <w:r>
        <w:rPr>
          <w:rFonts w:ascii="仿宋_GB2312" w:eastAsia="仿宋_GB2312" w:hint="eastAsia"/>
          <w:sz w:val="32"/>
          <w:szCs w:val="32"/>
        </w:rPr>
        <w:t>0</w:t>
      </w:r>
      <w:r>
        <w:rPr>
          <w:rFonts w:ascii="仿宋_GB2312" w:eastAsia="仿宋_GB2312" w:hint="eastAsia"/>
          <w:sz w:val="32"/>
          <w:szCs w:val="32"/>
        </w:rPr>
        <w:t>万元。</w:t>
      </w:r>
    </w:p>
    <w:p w:rsidR="00C57C28" w:rsidRDefault="008D7157">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宋体" w:hAnsi="宋体" w:cs="宋体" w:hint="eastAsia"/>
          <w:sz w:val="32"/>
          <w:szCs w:val="32"/>
        </w:rPr>
        <w:t>16902.10</w:t>
      </w:r>
      <w:r>
        <w:rPr>
          <w:rFonts w:ascii="楷体_GB2312" w:eastAsia="楷体_GB2312" w:hint="eastAsia"/>
          <w:sz w:val="32"/>
          <w:szCs w:val="32"/>
        </w:rPr>
        <w:t>万元</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财政专户管理资金收入</w:t>
      </w:r>
      <w:r>
        <w:rPr>
          <w:rFonts w:ascii="仿宋_GB2312" w:eastAsia="仿宋_GB2312" w:hint="eastAsia"/>
          <w:sz w:val="32"/>
          <w:szCs w:val="32"/>
        </w:rPr>
        <w:t>7638.10</w:t>
      </w:r>
      <w:r>
        <w:rPr>
          <w:rFonts w:ascii="仿宋_GB2312" w:eastAsia="仿宋_GB2312" w:hint="eastAsia"/>
          <w:sz w:val="32"/>
          <w:szCs w:val="32"/>
        </w:rPr>
        <w:t>万元。</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事业收入</w:t>
      </w:r>
      <w:r>
        <w:rPr>
          <w:rFonts w:ascii="仿宋_GB2312" w:eastAsia="仿宋_GB2312" w:hint="eastAsia"/>
          <w:sz w:val="32"/>
          <w:szCs w:val="32"/>
        </w:rPr>
        <w:t>1150.00</w:t>
      </w:r>
      <w:r>
        <w:rPr>
          <w:rFonts w:ascii="仿宋_GB2312" w:eastAsia="仿宋_GB2312" w:hint="eastAsia"/>
          <w:sz w:val="32"/>
          <w:szCs w:val="32"/>
        </w:rPr>
        <w:t>万元。</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上级补助收入</w:t>
      </w:r>
      <w:r>
        <w:rPr>
          <w:rFonts w:ascii="仿宋_GB2312" w:eastAsia="仿宋_GB2312" w:hint="eastAsia"/>
          <w:sz w:val="32"/>
          <w:szCs w:val="32"/>
        </w:rPr>
        <w:t>0</w:t>
      </w:r>
      <w:r>
        <w:rPr>
          <w:rFonts w:ascii="仿宋_GB2312" w:eastAsia="仿宋_GB2312" w:hint="eastAsia"/>
          <w:sz w:val="32"/>
          <w:szCs w:val="32"/>
        </w:rPr>
        <w:t>万元。</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附属单位上缴收入</w:t>
      </w:r>
      <w:r>
        <w:rPr>
          <w:rFonts w:ascii="仿宋_GB2312" w:eastAsia="仿宋_GB2312" w:hint="eastAsia"/>
          <w:sz w:val="32"/>
          <w:szCs w:val="32"/>
        </w:rPr>
        <w:t>0</w:t>
      </w:r>
      <w:r>
        <w:rPr>
          <w:rFonts w:ascii="仿宋_GB2312" w:eastAsia="仿宋_GB2312" w:hint="eastAsia"/>
          <w:sz w:val="32"/>
          <w:szCs w:val="32"/>
        </w:rPr>
        <w:t>万元。</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事业单位经营收入</w:t>
      </w:r>
      <w:r>
        <w:rPr>
          <w:rFonts w:ascii="仿宋_GB2312" w:eastAsia="仿宋_GB2312" w:hint="eastAsia"/>
          <w:sz w:val="32"/>
          <w:szCs w:val="32"/>
        </w:rPr>
        <w:t>6915.00</w:t>
      </w:r>
      <w:r>
        <w:rPr>
          <w:rFonts w:ascii="仿宋_GB2312" w:eastAsia="仿宋_GB2312" w:hint="eastAsia"/>
          <w:sz w:val="32"/>
          <w:szCs w:val="32"/>
        </w:rPr>
        <w:t>万元。</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其他收入</w:t>
      </w:r>
      <w:r>
        <w:rPr>
          <w:rFonts w:ascii="仿宋_GB2312" w:eastAsia="仿宋_GB2312" w:hint="eastAsia"/>
          <w:sz w:val="32"/>
          <w:szCs w:val="32"/>
        </w:rPr>
        <w:t>1199.00</w:t>
      </w:r>
      <w:r>
        <w:rPr>
          <w:rFonts w:ascii="仿宋_GB2312" w:eastAsia="仿宋_GB2312" w:hint="eastAsia"/>
          <w:sz w:val="32"/>
          <w:szCs w:val="32"/>
        </w:rPr>
        <w:t>万元。</w:t>
      </w:r>
    </w:p>
    <w:p w:rsidR="00C57C28" w:rsidRDefault="008D7157">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宋体" w:hAnsi="宋体" w:cs="宋体" w:hint="eastAsia"/>
          <w:sz w:val="32"/>
          <w:szCs w:val="32"/>
        </w:rPr>
        <w:t>34331.23</w:t>
      </w:r>
      <w:r>
        <w:rPr>
          <w:rFonts w:ascii="楷体_GB2312" w:eastAsia="楷体_GB2312" w:hint="eastAsia"/>
          <w:sz w:val="32"/>
          <w:szCs w:val="32"/>
        </w:rPr>
        <w:t>万元</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上年结转结余</w:t>
      </w:r>
      <w:r>
        <w:rPr>
          <w:rFonts w:ascii="仿宋_GB2312" w:eastAsia="仿宋_GB2312" w:hint="eastAsia"/>
          <w:sz w:val="32"/>
          <w:szCs w:val="32"/>
        </w:rPr>
        <w:t>34331.23</w:t>
      </w:r>
      <w:r>
        <w:rPr>
          <w:rFonts w:ascii="仿宋_GB2312" w:eastAsia="仿宋_GB2312" w:hint="eastAsia"/>
          <w:sz w:val="32"/>
          <w:szCs w:val="32"/>
        </w:rPr>
        <w:t>万元。</w:t>
      </w:r>
    </w:p>
    <w:p w:rsidR="00C57C28" w:rsidRDefault="008D7157">
      <w:r>
        <w:rPr>
          <w:noProof/>
        </w:rPr>
        <w:drawing>
          <wp:inline distT="0" distB="0" distL="114300" distR="114300">
            <wp:extent cx="5703570" cy="3355340"/>
            <wp:effectExtent l="5080" t="4445" r="6350" b="571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57C28" w:rsidRDefault="008D7157">
      <w:pPr>
        <w:pStyle w:val="2"/>
        <w:ind w:firstLine="642"/>
        <w:jc w:val="center"/>
        <w:rPr>
          <w:rFonts w:ascii="仿宋_GB2312" w:eastAsia="仿宋_GB2312"/>
          <w:sz w:val="32"/>
        </w:rPr>
      </w:pPr>
      <w:r>
        <w:rPr>
          <w:rFonts w:ascii="仿宋_GB2312" w:eastAsia="仿宋_GB2312" w:hint="eastAsia"/>
          <w:sz w:val="32"/>
        </w:rPr>
        <w:t>图</w:t>
      </w:r>
      <w:r>
        <w:rPr>
          <w:rFonts w:ascii="仿宋_GB2312" w:eastAsia="仿宋_GB2312" w:hint="eastAsia"/>
          <w:sz w:val="32"/>
        </w:rPr>
        <w:t>1</w:t>
      </w:r>
      <w:r>
        <w:rPr>
          <w:rFonts w:ascii="仿宋_GB2312" w:eastAsia="仿宋_GB2312" w:hint="eastAsia"/>
          <w:sz w:val="32"/>
        </w:rPr>
        <w:t>：收入预算</w:t>
      </w:r>
    </w:p>
    <w:p w:rsidR="00C57C28" w:rsidRDefault="008D7157">
      <w:pPr>
        <w:spacing w:line="560" w:lineRule="exact"/>
        <w:ind w:firstLineChars="200" w:firstLine="640"/>
        <w:rPr>
          <w:rFonts w:ascii="仿宋_GB2312" w:eastAsia="仿宋_GB2312"/>
          <w:color w:val="000000"/>
          <w:sz w:val="32"/>
          <w:szCs w:val="32"/>
        </w:rPr>
      </w:pPr>
      <w:r>
        <w:rPr>
          <w:rFonts w:ascii="黑体" w:eastAsia="黑体" w:hint="eastAsia"/>
          <w:sz w:val="32"/>
          <w:szCs w:val="32"/>
        </w:rPr>
        <w:t>三、支出预算情况说明</w:t>
      </w:r>
    </w:p>
    <w:p w:rsidR="00C57C28" w:rsidRDefault="008D7157">
      <w:pPr>
        <w:widowControl/>
        <w:spacing w:line="560" w:lineRule="exact"/>
        <w:ind w:firstLine="584"/>
        <w:jc w:val="left"/>
        <w:rPr>
          <w:rFonts w:ascii="微软雅黑" w:eastAsia="微软雅黑" w:hAnsi="微软雅黑" w:cs="宋体"/>
          <w:color w:val="666666"/>
          <w:kern w:val="0"/>
          <w:sz w:val="22"/>
          <w:szCs w:val="22"/>
        </w:rPr>
      </w:pPr>
      <w:r>
        <w:rPr>
          <w:rFonts w:ascii="仿宋_GB2312" w:eastAsia="仿宋_GB2312" w:hint="eastAsia"/>
          <w:sz w:val="32"/>
          <w:szCs w:val="32"/>
        </w:rPr>
        <w:t>2025</w:t>
      </w:r>
      <w:r>
        <w:rPr>
          <w:rFonts w:ascii="仿宋_GB2312" w:eastAsia="仿宋_GB2312" w:hint="eastAsia"/>
          <w:sz w:val="32"/>
          <w:szCs w:val="32"/>
        </w:rPr>
        <w:t>年支出预算</w:t>
      </w:r>
      <w:r>
        <w:rPr>
          <w:rFonts w:ascii="仿宋_GB2312" w:eastAsia="仿宋_GB2312" w:hint="eastAsia"/>
          <w:sz w:val="32"/>
          <w:szCs w:val="32"/>
        </w:rPr>
        <w:t>86010.71</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年年初预</w:t>
      </w:r>
      <w:r>
        <w:rPr>
          <w:rFonts w:ascii="仿宋_GB2312" w:eastAsia="仿宋_GB2312" w:hint="eastAsia"/>
          <w:sz w:val="32"/>
          <w:szCs w:val="32"/>
        </w:rPr>
        <w:t>算数</w:t>
      </w:r>
      <w:r>
        <w:rPr>
          <w:rFonts w:ascii="仿宋_GB2312" w:eastAsia="仿宋_GB2312" w:hint="eastAsia"/>
          <w:sz w:val="32"/>
          <w:szCs w:val="32"/>
        </w:rPr>
        <w:t>81224.22</w:t>
      </w:r>
      <w:r>
        <w:rPr>
          <w:rFonts w:ascii="仿宋_GB2312" w:eastAsia="仿宋_GB2312" w:hint="eastAsia"/>
          <w:sz w:val="32"/>
          <w:szCs w:val="32"/>
        </w:rPr>
        <w:t>万元增加</w:t>
      </w:r>
      <w:r>
        <w:rPr>
          <w:rFonts w:ascii="仿宋_GB2312" w:eastAsia="仿宋_GB2312" w:hint="eastAsia"/>
          <w:sz w:val="32"/>
          <w:szCs w:val="32"/>
        </w:rPr>
        <w:t>4786.49</w:t>
      </w:r>
      <w:r>
        <w:rPr>
          <w:rFonts w:ascii="仿宋_GB2312" w:eastAsia="仿宋_GB2312" w:hint="eastAsia"/>
          <w:sz w:val="32"/>
          <w:szCs w:val="32"/>
        </w:rPr>
        <w:t>万元，增长</w:t>
      </w:r>
      <w:r>
        <w:rPr>
          <w:rFonts w:ascii="仿宋_GB2312" w:eastAsia="仿宋_GB2312" w:hint="eastAsia"/>
          <w:sz w:val="32"/>
          <w:szCs w:val="32"/>
        </w:rPr>
        <w:t>5.89%</w:t>
      </w:r>
      <w:r>
        <w:rPr>
          <w:rFonts w:ascii="仿宋_GB2312" w:eastAsia="仿宋_GB2312" w:hint="eastAsia"/>
          <w:sz w:val="32"/>
          <w:szCs w:val="32"/>
        </w:rPr>
        <w:t>。主要原因是按照全口径预算管理要求，为进一步加强非财政拨款资金管理，将所有非财政拨款资金全部纳入年度预算管理。</w:t>
      </w:r>
    </w:p>
    <w:p w:rsidR="00C57C28" w:rsidRDefault="008D7157">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hint="eastAsia"/>
          <w:sz w:val="32"/>
          <w:szCs w:val="32"/>
        </w:rPr>
        <w:t>63563.24</w:t>
      </w:r>
      <w:r>
        <w:rPr>
          <w:rFonts w:ascii="仿宋_GB2312" w:eastAsia="仿宋_GB2312" w:hint="eastAsia"/>
          <w:sz w:val="32"/>
          <w:szCs w:val="32"/>
        </w:rPr>
        <w:t>万元，占本年支出预算</w:t>
      </w:r>
      <w:r>
        <w:rPr>
          <w:rFonts w:ascii="仿宋_GB2312" w:eastAsia="仿宋_GB2312" w:hint="eastAsia"/>
          <w:sz w:val="32"/>
          <w:szCs w:val="32"/>
        </w:rPr>
        <w:t>96.59%</w:t>
      </w:r>
      <w:r>
        <w:rPr>
          <w:rFonts w:ascii="仿宋_GB2312" w:eastAsia="仿宋_GB2312" w:hint="eastAsia"/>
          <w:sz w:val="32"/>
          <w:szCs w:val="32"/>
        </w:rPr>
        <w:t>，比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64580.16</w:t>
      </w:r>
      <w:r>
        <w:rPr>
          <w:rFonts w:ascii="仿宋_GB2312" w:eastAsia="仿宋_GB2312" w:hint="eastAsia"/>
          <w:sz w:val="32"/>
          <w:szCs w:val="32"/>
        </w:rPr>
        <w:t>万元减少</w:t>
      </w:r>
      <w:r>
        <w:rPr>
          <w:rFonts w:ascii="仿宋_GB2312" w:eastAsia="仿宋_GB2312" w:hint="eastAsia"/>
          <w:sz w:val="32"/>
          <w:szCs w:val="32"/>
        </w:rPr>
        <w:t>1016.92</w:t>
      </w:r>
      <w:r>
        <w:rPr>
          <w:rFonts w:ascii="仿宋_GB2312" w:eastAsia="仿宋_GB2312" w:hint="eastAsia"/>
          <w:sz w:val="32"/>
          <w:szCs w:val="32"/>
        </w:rPr>
        <w:t>万元，下降</w:t>
      </w:r>
      <w:r>
        <w:rPr>
          <w:rFonts w:ascii="仿宋_GB2312" w:eastAsia="仿宋_GB2312" w:hint="eastAsia"/>
          <w:sz w:val="32"/>
          <w:szCs w:val="32"/>
        </w:rPr>
        <w:t>1.57%</w:t>
      </w:r>
      <w:r>
        <w:rPr>
          <w:rFonts w:ascii="仿宋_GB2312" w:eastAsia="仿宋_GB2312" w:hint="eastAsia"/>
          <w:sz w:val="32"/>
          <w:szCs w:val="32"/>
        </w:rPr>
        <w:t>。</w:t>
      </w:r>
    </w:p>
    <w:p w:rsidR="008D7157" w:rsidRDefault="008D7157" w:rsidP="008D7157">
      <w:pPr>
        <w:spacing w:line="560" w:lineRule="exact"/>
        <w:ind w:firstLine="645"/>
        <w:rPr>
          <w:rFonts w:ascii="仿宋_GB2312" w:eastAsia="仿宋_GB2312" w:hint="eastAsia"/>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hint="eastAsia"/>
          <w:sz w:val="32"/>
          <w:szCs w:val="32"/>
        </w:rPr>
        <w:t>2246.47</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1672.90</w:t>
      </w:r>
      <w:r>
        <w:rPr>
          <w:rFonts w:ascii="仿宋_GB2312" w:eastAsia="仿宋_GB2312" w:hint="eastAsia"/>
          <w:sz w:val="32"/>
          <w:szCs w:val="32"/>
        </w:rPr>
        <w:t>万元增加</w:t>
      </w:r>
      <w:r>
        <w:rPr>
          <w:rFonts w:ascii="仿宋_GB2312" w:eastAsia="仿宋_GB2312" w:hint="eastAsia"/>
          <w:sz w:val="32"/>
          <w:szCs w:val="32"/>
        </w:rPr>
        <w:t>573.57</w:t>
      </w:r>
      <w:r>
        <w:rPr>
          <w:rFonts w:ascii="仿宋_GB2312" w:eastAsia="仿宋_GB2312" w:hint="eastAsia"/>
          <w:sz w:val="32"/>
          <w:szCs w:val="32"/>
        </w:rPr>
        <w:t>万元，增长</w:t>
      </w:r>
      <w:r>
        <w:rPr>
          <w:rFonts w:ascii="仿宋_GB2312" w:eastAsia="仿宋_GB2312" w:hint="eastAsia"/>
          <w:sz w:val="32"/>
          <w:szCs w:val="32"/>
        </w:rPr>
        <w:t>34.29%</w:t>
      </w:r>
      <w:r>
        <w:rPr>
          <w:rFonts w:ascii="仿宋_GB2312" w:eastAsia="仿宋_GB2312" w:hint="eastAsia"/>
          <w:sz w:val="32"/>
          <w:szCs w:val="32"/>
        </w:rPr>
        <w:t>。其中：</w:t>
      </w:r>
    </w:p>
    <w:p w:rsidR="00C57C28" w:rsidRDefault="008D7157" w:rsidP="008D7157">
      <w:pPr>
        <w:spacing w:line="560" w:lineRule="exact"/>
        <w:ind w:firstLine="645"/>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事业单位经营支出</w:t>
      </w:r>
      <w:r>
        <w:rPr>
          <w:rFonts w:ascii="仿宋_GB2312" w:eastAsia="仿宋_GB2312" w:hint="eastAsia"/>
          <w:sz w:val="32"/>
          <w:szCs w:val="32"/>
        </w:rPr>
        <w:t>0</w:t>
      </w:r>
      <w:r>
        <w:rPr>
          <w:rFonts w:ascii="仿宋_GB2312" w:eastAsia="仿宋_GB2312" w:hint="eastAsia"/>
          <w:sz w:val="32"/>
          <w:szCs w:val="32"/>
        </w:rPr>
        <w:t>万元。</w:t>
      </w:r>
    </w:p>
    <w:p w:rsidR="00C57C28" w:rsidRDefault="008D7157">
      <w:pPr>
        <w:spacing w:line="560" w:lineRule="exact"/>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上缴上级支出</w:t>
      </w:r>
      <w:r>
        <w:rPr>
          <w:rFonts w:ascii="仿宋_GB2312" w:eastAsia="仿宋_GB2312" w:hint="eastAsia"/>
          <w:sz w:val="32"/>
          <w:szCs w:val="32"/>
        </w:rPr>
        <w:t>0</w:t>
      </w:r>
      <w:r>
        <w:rPr>
          <w:rFonts w:ascii="仿宋_GB2312" w:eastAsia="仿宋_GB2312" w:hint="eastAsia"/>
          <w:sz w:val="32"/>
          <w:szCs w:val="32"/>
        </w:rPr>
        <w:t>万元。</w:t>
      </w:r>
    </w:p>
    <w:p w:rsidR="00C57C28" w:rsidRDefault="008D7157">
      <w:pPr>
        <w:spacing w:line="560" w:lineRule="exact"/>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对附属单位补助支出</w:t>
      </w:r>
      <w:r>
        <w:rPr>
          <w:rFonts w:ascii="仿宋_GB2312" w:eastAsia="仿宋_GB2312" w:hint="eastAsia"/>
          <w:sz w:val="32"/>
          <w:szCs w:val="32"/>
        </w:rPr>
        <w:t>0</w:t>
      </w:r>
      <w:r>
        <w:rPr>
          <w:rFonts w:ascii="仿宋_GB2312" w:eastAsia="仿宋_GB2312" w:hint="eastAsia"/>
          <w:sz w:val="32"/>
          <w:szCs w:val="32"/>
        </w:rPr>
        <w:t>万元。</w:t>
      </w:r>
    </w:p>
    <w:p w:rsidR="00C57C28" w:rsidRDefault="008D7157">
      <w:r>
        <w:rPr>
          <w:noProof/>
        </w:rPr>
        <w:drawing>
          <wp:inline distT="0" distB="0" distL="0" distR="0">
            <wp:extent cx="5131435" cy="3057525"/>
            <wp:effectExtent l="4445" t="4445" r="762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57C28" w:rsidRPr="008D7157" w:rsidRDefault="008D7157" w:rsidP="008D7157">
      <w:pPr>
        <w:jc w:val="center"/>
        <w:rPr>
          <w:rFonts w:ascii="仿宋_GB2312" w:eastAsia="仿宋_GB2312"/>
          <w:sz w:val="32"/>
          <w:szCs w:val="32"/>
        </w:rPr>
      </w:pPr>
      <w:r w:rsidRPr="008D7157">
        <w:rPr>
          <w:rFonts w:ascii="仿宋_GB2312" w:eastAsia="仿宋_GB2312" w:hint="eastAsia"/>
          <w:sz w:val="32"/>
          <w:szCs w:val="32"/>
        </w:rPr>
        <w:t>图</w:t>
      </w:r>
      <w:r w:rsidRPr="008D7157">
        <w:rPr>
          <w:rFonts w:ascii="仿宋_GB2312" w:eastAsia="仿宋_GB2312" w:hint="eastAsia"/>
          <w:sz w:val="32"/>
          <w:szCs w:val="32"/>
        </w:rPr>
        <w:t>2</w:t>
      </w:r>
      <w:r w:rsidRPr="008D7157">
        <w:rPr>
          <w:rFonts w:ascii="仿宋_GB2312" w:eastAsia="仿宋_GB2312" w:hint="eastAsia"/>
          <w:sz w:val="32"/>
          <w:szCs w:val="32"/>
        </w:rPr>
        <w:t>：基本支出和项目支出情况</w:t>
      </w:r>
    </w:p>
    <w:p w:rsidR="00C57C28" w:rsidRPr="008D7157" w:rsidRDefault="008D7157" w:rsidP="008D7157">
      <w:pPr>
        <w:spacing w:line="560" w:lineRule="exact"/>
        <w:rPr>
          <w:rFonts w:ascii="楷体_GB2312" w:eastAsia="楷体_GB2312" w:hAnsi="楷体_GB2312" w:cs="楷体_GB2312"/>
          <w:sz w:val="32"/>
          <w:szCs w:val="32"/>
        </w:rPr>
      </w:pPr>
      <w:r>
        <w:rPr>
          <w:rFonts w:ascii="宋体" w:hAnsi="宋体" w:cs="宋体" w:hint="eastAsia"/>
          <w:color w:val="000000"/>
          <w:sz w:val="32"/>
          <w:szCs w:val="32"/>
        </w:rPr>
        <w:t xml:space="preserve">　　</w:t>
      </w:r>
      <w:r>
        <w:rPr>
          <w:rFonts w:ascii="楷体_GB2312" w:eastAsia="楷体_GB2312" w:hAnsi="楷体_GB2312" w:cs="楷体_GB2312" w:hint="eastAsia"/>
          <w:sz w:val="32"/>
          <w:szCs w:val="32"/>
        </w:rPr>
        <w:t>（三）</w:t>
      </w:r>
      <w:r w:rsidRPr="008D7157">
        <w:rPr>
          <w:rFonts w:ascii="楷体_GB2312" w:eastAsia="楷体_GB2312" w:hAnsi="楷体_GB2312" w:cs="楷体_GB2312" w:hint="eastAsia"/>
          <w:sz w:val="32"/>
          <w:szCs w:val="32"/>
        </w:rPr>
        <w:t>年终结转结余资金</w:t>
      </w:r>
      <w:r w:rsidRPr="008D7157">
        <w:rPr>
          <w:rFonts w:ascii="楷体_GB2312" w:eastAsia="楷体_GB2312" w:hAnsi="楷体_GB2312" w:cs="楷体_GB2312" w:hint="eastAsia"/>
          <w:sz w:val="32"/>
          <w:szCs w:val="32"/>
        </w:rPr>
        <w:t>20201</w:t>
      </w:r>
      <w:r>
        <w:rPr>
          <w:rFonts w:ascii="宋体" w:hAnsi="宋体" w:cs="宋体" w:hint="eastAsia"/>
          <w:sz w:val="32"/>
          <w:szCs w:val="32"/>
        </w:rPr>
        <w:t>.0</w:t>
      </w:r>
      <w:r w:rsidRPr="008D7157">
        <w:rPr>
          <w:rFonts w:ascii="楷体_GB2312" w:eastAsia="楷体_GB2312" w:hAnsi="楷体_GB2312" w:cs="楷体_GB2312" w:hint="eastAsia"/>
          <w:sz w:val="32"/>
          <w:szCs w:val="32"/>
        </w:rPr>
        <w:t>0</w:t>
      </w:r>
      <w:r w:rsidRPr="008D7157">
        <w:rPr>
          <w:rFonts w:ascii="楷体_GB2312" w:eastAsia="楷体_GB2312" w:hAnsi="楷体_GB2312" w:cs="楷体_GB2312" w:hint="eastAsia"/>
          <w:sz w:val="32"/>
          <w:szCs w:val="32"/>
        </w:rPr>
        <w:t>万元</w:t>
      </w:r>
    </w:p>
    <w:p w:rsidR="008D7157" w:rsidRDefault="008D7157" w:rsidP="008D7157">
      <w:pPr>
        <w:spacing w:line="560" w:lineRule="exact"/>
        <w:ind w:firstLine="630"/>
        <w:rPr>
          <w:rFonts w:ascii="黑体" w:eastAsia="黑体" w:hint="eastAsia"/>
          <w:sz w:val="32"/>
          <w:szCs w:val="32"/>
        </w:rPr>
      </w:pPr>
      <w:r>
        <w:rPr>
          <w:rFonts w:ascii="黑体" w:eastAsia="黑体" w:hint="eastAsia"/>
          <w:sz w:val="32"/>
          <w:szCs w:val="32"/>
        </w:rPr>
        <w:t>四、财政拨款“三公”经费预算情况说明</w:t>
      </w:r>
    </w:p>
    <w:p w:rsidR="008D7157" w:rsidRDefault="008D7157" w:rsidP="008D7157">
      <w:pPr>
        <w:spacing w:line="560" w:lineRule="exact"/>
        <w:ind w:firstLine="630"/>
        <w:rPr>
          <w:rFonts w:ascii="楷体_GB2312" w:eastAsia="楷体_GB2312" w:hint="eastAsia"/>
          <w:sz w:val="32"/>
          <w:szCs w:val="32"/>
        </w:rPr>
      </w:pPr>
      <w:r>
        <w:rPr>
          <w:rFonts w:ascii="楷体_GB2312" w:eastAsia="楷体_GB2312" w:hint="eastAsia"/>
          <w:sz w:val="32"/>
          <w:szCs w:val="32"/>
        </w:rPr>
        <w:t>（一）“三公”经费的单位范围</w:t>
      </w:r>
    </w:p>
    <w:p w:rsidR="008D7157" w:rsidRDefault="008D7157" w:rsidP="008D7157">
      <w:pPr>
        <w:spacing w:line="560" w:lineRule="exact"/>
        <w:ind w:firstLine="630"/>
        <w:rPr>
          <w:rFonts w:ascii="仿宋_GB2312" w:eastAsia="仿宋_GB2312" w:hint="eastAsia"/>
          <w:sz w:val="32"/>
          <w:szCs w:val="32"/>
        </w:rPr>
      </w:pPr>
      <w:r>
        <w:rPr>
          <w:rFonts w:ascii="仿宋_GB2312" w:eastAsia="仿宋_GB2312" w:hint="eastAsia"/>
          <w:sz w:val="32"/>
          <w:szCs w:val="32"/>
        </w:rPr>
        <w:t>北京电影学院因公出国（境）费用、公务接待费、公务用车购置和运行维护费开支单位包括</w:t>
      </w:r>
      <w:r>
        <w:rPr>
          <w:rFonts w:ascii="仿宋_GB2312" w:eastAsia="仿宋_GB2312" w:hint="eastAsia"/>
          <w:sz w:val="32"/>
          <w:szCs w:val="32"/>
        </w:rPr>
        <w:t>1</w:t>
      </w:r>
      <w:r>
        <w:rPr>
          <w:rFonts w:ascii="仿宋_GB2312" w:eastAsia="仿宋_GB2312" w:hint="eastAsia"/>
          <w:sz w:val="32"/>
          <w:szCs w:val="32"/>
        </w:rPr>
        <w:t>个所属单位。其他所属单位</w:t>
      </w:r>
      <w:r>
        <w:rPr>
          <w:rFonts w:ascii="仿宋_GB2312" w:eastAsia="仿宋_GB2312" w:hint="eastAsia"/>
          <w:sz w:val="32"/>
          <w:szCs w:val="32"/>
        </w:rPr>
        <w:t>2025</w:t>
      </w:r>
      <w:r>
        <w:rPr>
          <w:rFonts w:ascii="仿宋_GB2312" w:eastAsia="仿宋_GB2312" w:hint="eastAsia"/>
          <w:sz w:val="32"/>
          <w:szCs w:val="32"/>
        </w:rPr>
        <w:t>年无财政拨款安排的“三公”经费预算。</w:t>
      </w:r>
    </w:p>
    <w:p w:rsidR="00C57C28" w:rsidRDefault="008D7157" w:rsidP="008D7157">
      <w:pPr>
        <w:spacing w:line="560" w:lineRule="exact"/>
        <w:ind w:firstLine="630"/>
        <w:rPr>
          <w:rFonts w:ascii="楷体_GB2312" w:eastAsia="楷体_GB2312"/>
          <w:sz w:val="32"/>
          <w:szCs w:val="32"/>
        </w:rPr>
      </w:pPr>
      <w:r>
        <w:rPr>
          <w:rFonts w:ascii="楷体_GB2312" w:eastAsia="楷体_GB2312" w:hint="eastAsia"/>
          <w:sz w:val="32"/>
          <w:szCs w:val="32"/>
        </w:rPr>
        <w:t>（二）财政拨款“三公”经费预算情况说明</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年财政拨款“三公”经费预算</w:t>
      </w:r>
      <w:r>
        <w:rPr>
          <w:rFonts w:ascii="仿宋_GB2312" w:eastAsia="仿宋_GB2312" w:hint="eastAsia"/>
          <w:sz w:val="32"/>
          <w:szCs w:val="32"/>
        </w:rPr>
        <w:t>44.98</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年财政拨款“三公”经费预算减少</w:t>
      </w:r>
      <w:r>
        <w:rPr>
          <w:rFonts w:ascii="仿宋_GB2312" w:eastAsia="仿宋_GB2312" w:hint="eastAsia"/>
          <w:sz w:val="32"/>
          <w:szCs w:val="32"/>
        </w:rPr>
        <w:t>11.81</w:t>
      </w:r>
      <w:r>
        <w:rPr>
          <w:rFonts w:ascii="仿宋_GB2312" w:eastAsia="仿宋_GB2312" w:hint="eastAsia"/>
          <w:sz w:val="32"/>
          <w:szCs w:val="32"/>
        </w:rPr>
        <w:t>万元。其中：</w:t>
      </w:r>
    </w:p>
    <w:p w:rsidR="008D7157" w:rsidRDefault="008D7157">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1.</w:t>
      </w:r>
      <w:r>
        <w:rPr>
          <w:rFonts w:ascii="仿宋_GB2312" w:eastAsia="仿宋_GB2312" w:hint="eastAsia"/>
          <w:sz w:val="32"/>
          <w:szCs w:val="32"/>
        </w:rPr>
        <w:t>因公出国（境）费用。</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0</w:t>
      </w:r>
      <w:r>
        <w:rPr>
          <w:rFonts w:ascii="仿宋_GB2312" w:eastAsia="仿宋_GB2312" w:hint="eastAsia"/>
          <w:sz w:val="32"/>
          <w:szCs w:val="32"/>
        </w:rPr>
        <w:t>万元，与</w:t>
      </w:r>
      <w:r>
        <w:rPr>
          <w:rFonts w:ascii="仿宋_GB2312" w:eastAsia="仿宋_GB2312" w:hint="eastAsia"/>
          <w:sz w:val="32"/>
          <w:szCs w:val="32"/>
        </w:rPr>
        <w:t>2024</w:t>
      </w:r>
      <w:r>
        <w:rPr>
          <w:rFonts w:ascii="仿宋_GB2312" w:eastAsia="仿宋_GB2312" w:hint="eastAsia"/>
          <w:sz w:val="32"/>
          <w:szCs w:val="32"/>
        </w:rPr>
        <w:t>年持平。</w:t>
      </w:r>
    </w:p>
    <w:p w:rsidR="008D7157" w:rsidRDefault="008D7157">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2.</w:t>
      </w:r>
      <w:r>
        <w:rPr>
          <w:rFonts w:ascii="仿宋_GB2312" w:eastAsia="仿宋_GB2312" w:hint="eastAsia"/>
          <w:sz w:val="32"/>
          <w:szCs w:val="32"/>
        </w:rPr>
        <w:t>公务接待费。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5.00</w:t>
      </w:r>
      <w:r>
        <w:rPr>
          <w:rFonts w:ascii="仿宋_GB2312" w:eastAsia="仿宋_GB2312" w:hint="eastAsia"/>
          <w:sz w:val="32"/>
          <w:szCs w:val="32"/>
        </w:rPr>
        <w:t>万元，与</w:t>
      </w:r>
      <w:r>
        <w:rPr>
          <w:rFonts w:ascii="仿宋_GB2312" w:eastAsia="仿宋_GB2312" w:hint="eastAsia"/>
          <w:sz w:val="32"/>
          <w:szCs w:val="32"/>
        </w:rPr>
        <w:t>2024</w:t>
      </w:r>
      <w:r>
        <w:rPr>
          <w:rFonts w:ascii="仿宋_GB2312" w:eastAsia="仿宋_GB2312" w:hint="eastAsia"/>
          <w:sz w:val="32"/>
          <w:szCs w:val="32"/>
        </w:rPr>
        <w:t>年持平。</w:t>
      </w:r>
    </w:p>
    <w:p w:rsidR="00C57C28" w:rsidRPr="008D7157" w:rsidRDefault="008D7157">
      <w:pPr>
        <w:spacing w:line="560" w:lineRule="exact"/>
        <w:ind w:firstLineChars="200" w:firstLine="640"/>
        <w:rPr>
          <w:rFonts w:ascii="仿宋_GB2312" w:eastAsia="仿宋_GB2312" w:hint="eastAsia"/>
          <w:sz w:val="32"/>
          <w:szCs w:val="32"/>
        </w:rPr>
      </w:pPr>
      <w:r w:rsidRPr="008D7157">
        <w:rPr>
          <w:rFonts w:ascii="仿宋_GB2312" w:eastAsia="仿宋_GB2312" w:hint="eastAsia"/>
          <w:sz w:val="32"/>
          <w:szCs w:val="32"/>
        </w:rPr>
        <w:t>3.</w:t>
      </w:r>
      <w:r w:rsidRPr="008D7157">
        <w:rPr>
          <w:rFonts w:ascii="仿宋_GB2312" w:eastAsia="仿宋_GB2312" w:hint="eastAsia"/>
          <w:sz w:val="32"/>
          <w:szCs w:val="32"/>
        </w:rPr>
        <w:t>公务用车购置和运行维护费。</w:t>
      </w:r>
      <w:r w:rsidRPr="008D7157">
        <w:rPr>
          <w:rFonts w:ascii="仿宋_GB2312" w:eastAsia="仿宋_GB2312" w:hint="eastAsia"/>
          <w:sz w:val="32"/>
          <w:szCs w:val="32"/>
        </w:rPr>
        <w:t>2025</w:t>
      </w:r>
      <w:r w:rsidRPr="008D7157">
        <w:rPr>
          <w:rFonts w:ascii="仿宋_GB2312" w:eastAsia="仿宋_GB2312" w:hint="eastAsia"/>
          <w:sz w:val="32"/>
          <w:szCs w:val="32"/>
        </w:rPr>
        <w:t>年预算数</w:t>
      </w:r>
      <w:r w:rsidRPr="008D7157">
        <w:rPr>
          <w:rFonts w:ascii="仿宋_GB2312" w:eastAsia="仿宋_GB2312" w:hint="eastAsia"/>
          <w:sz w:val="32"/>
          <w:szCs w:val="32"/>
        </w:rPr>
        <w:t>39.98</w:t>
      </w:r>
      <w:r w:rsidRPr="008D7157">
        <w:rPr>
          <w:rFonts w:ascii="仿宋_GB2312" w:eastAsia="仿宋_GB2312" w:hint="eastAsia"/>
          <w:sz w:val="32"/>
          <w:szCs w:val="32"/>
        </w:rPr>
        <w:t>万元，包括：公务用车购置费</w:t>
      </w:r>
      <w:r w:rsidRPr="008D7157">
        <w:rPr>
          <w:rFonts w:ascii="仿宋_GB2312" w:eastAsia="仿宋_GB2312" w:hint="eastAsia"/>
          <w:sz w:val="32"/>
          <w:szCs w:val="32"/>
        </w:rPr>
        <w:t>2025</w:t>
      </w:r>
      <w:r w:rsidRPr="008D7157">
        <w:rPr>
          <w:rFonts w:ascii="仿宋_GB2312" w:eastAsia="仿宋_GB2312" w:hint="eastAsia"/>
          <w:sz w:val="32"/>
          <w:szCs w:val="32"/>
        </w:rPr>
        <w:t>年预算数</w:t>
      </w:r>
      <w:r w:rsidRPr="008D7157">
        <w:rPr>
          <w:rFonts w:ascii="仿宋_GB2312" w:eastAsia="仿宋_GB2312" w:hint="eastAsia"/>
          <w:sz w:val="32"/>
          <w:szCs w:val="32"/>
        </w:rPr>
        <w:t>24.98</w:t>
      </w:r>
      <w:r w:rsidRPr="008D7157">
        <w:rPr>
          <w:rFonts w:ascii="仿宋_GB2312" w:eastAsia="仿宋_GB2312" w:hint="eastAsia"/>
          <w:sz w:val="32"/>
          <w:szCs w:val="32"/>
        </w:rPr>
        <w:t>万元，比</w:t>
      </w:r>
      <w:r w:rsidRPr="008D7157">
        <w:rPr>
          <w:rFonts w:ascii="仿宋_GB2312" w:eastAsia="仿宋_GB2312" w:hint="eastAsia"/>
          <w:sz w:val="32"/>
          <w:szCs w:val="32"/>
        </w:rPr>
        <w:t>2024</w:t>
      </w:r>
      <w:r w:rsidRPr="008D7157">
        <w:rPr>
          <w:rFonts w:ascii="仿宋_GB2312" w:eastAsia="仿宋_GB2312" w:hint="eastAsia"/>
          <w:sz w:val="32"/>
          <w:szCs w:val="32"/>
        </w:rPr>
        <w:t>年年初预算数</w:t>
      </w:r>
      <w:r w:rsidRPr="008D7157">
        <w:rPr>
          <w:rFonts w:ascii="仿宋_GB2312" w:eastAsia="仿宋_GB2312" w:hint="eastAsia"/>
          <w:sz w:val="32"/>
          <w:szCs w:val="32"/>
        </w:rPr>
        <w:t>36.79</w:t>
      </w:r>
      <w:r w:rsidRPr="008D7157">
        <w:rPr>
          <w:rFonts w:ascii="仿宋_GB2312" w:eastAsia="仿宋_GB2312" w:hint="eastAsia"/>
          <w:sz w:val="32"/>
          <w:szCs w:val="32"/>
        </w:rPr>
        <w:t>万元减少</w:t>
      </w:r>
      <w:r w:rsidRPr="008D7157">
        <w:rPr>
          <w:rFonts w:ascii="仿宋_GB2312" w:eastAsia="仿宋_GB2312" w:hint="eastAsia"/>
          <w:sz w:val="32"/>
          <w:szCs w:val="32"/>
        </w:rPr>
        <w:t>11.81</w:t>
      </w:r>
      <w:r w:rsidRPr="008D7157">
        <w:rPr>
          <w:rFonts w:ascii="仿宋_GB2312" w:eastAsia="仿宋_GB2312" w:hint="eastAsia"/>
          <w:sz w:val="32"/>
          <w:szCs w:val="32"/>
        </w:rPr>
        <w:t>万元，主要原因：</w:t>
      </w:r>
      <w:r w:rsidRPr="008D7157">
        <w:rPr>
          <w:rFonts w:ascii="仿宋_GB2312" w:eastAsia="仿宋_GB2312" w:hint="eastAsia"/>
          <w:sz w:val="32"/>
          <w:szCs w:val="32"/>
        </w:rPr>
        <w:t>2024</w:t>
      </w:r>
      <w:r w:rsidRPr="008D7157">
        <w:rPr>
          <w:rFonts w:ascii="仿宋_GB2312" w:eastAsia="仿宋_GB2312" w:hint="eastAsia"/>
          <w:sz w:val="32"/>
          <w:szCs w:val="32"/>
        </w:rPr>
        <w:t>年购置</w:t>
      </w:r>
      <w:r w:rsidRPr="008D7157">
        <w:rPr>
          <w:rFonts w:ascii="仿宋_GB2312" w:eastAsia="仿宋_GB2312" w:hint="eastAsia"/>
          <w:sz w:val="32"/>
          <w:szCs w:val="32"/>
        </w:rPr>
        <w:t>2</w:t>
      </w:r>
      <w:r w:rsidRPr="008D7157">
        <w:rPr>
          <w:rFonts w:ascii="仿宋_GB2312" w:eastAsia="仿宋_GB2312" w:hint="eastAsia"/>
          <w:sz w:val="32"/>
          <w:szCs w:val="32"/>
        </w:rPr>
        <w:t>辆小型</w:t>
      </w:r>
      <w:r w:rsidRPr="008D7157">
        <w:rPr>
          <w:rFonts w:ascii="仿宋_GB2312" w:eastAsia="仿宋_GB2312" w:hAnsi="仿宋" w:hint="eastAsia"/>
          <w:sz w:val="32"/>
          <w:szCs w:val="32"/>
        </w:rPr>
        <w:t>客</w:t>
      </w:r>
      <w:r w:rsidRPr="008D7157">
        <w:rPr>
          <w:rFonts w:ascii="仿宋_GB2312" w:eastAsia="仿宋_GB2312" w:hint="eastAsia"/>
          <w:sz w:val="32"/>
          <w:szCs w:val="32"/>
        </w:rPr>
        <w:t>车，</w:t>
      </w:r>
      <w:r w:rsidRPr="008D7157">
        <w:rPr>
          <w:rFonts w:ascii="仿宋_GB2312" w:eastAsia="仿宋_GB2312" w:hint="eastAsia"/>
          <w:sz w:val="32"/>
          <w:szCs w:val="32"/>
        </w:rPr>
        <w:t>2025</w:t>
      </w:r>
      <w:r w:rsidRPr="008D7157">
        <w:rPr>
          <w:rFonts w:ascii="仿宋_GB2312" w:eastAsia="仿宋_GB2312" w:hint="eastAsia"/>
          <w:sz w:val="32"/>
          <w:szCs w:val="32"/>
        </w:rPr>
        <w:t>年根据事业发展规划，新增</w:t>
      </w:r>
      <w:r w:rsidRPr="008D7157">
        <w:rPr>
          <w:rFonts w:ascii="仿宋_GB2312" w:eastAsia="仿宋_GB2312" w:hint="eastAsia"/>
          <w:sz w:val="32"/>
          <w:szCs w:val="32"/>
        </w:rPr>
        <w:t>7</w:t>
      </w:r>
      <w:r w:rsidRPr="008D7157">
        <w:rPr>
          <w:rFonts w:ascii="仿宋_GB2312" w:eastAsia="仿宋_GB2312" w:hAnsi="仿宋" w:hint="eastAsia"/>
          <w:sz w:val="32"/>
          <w:szCs w:val="32"/>
        </w:rPr>
        <w:t>座</w:t>
      </w:r>
      <w:r w:rsidRPr="008D7157">
        <w:rPr>
          <w:rFonts w:ascii="仿宋_GB2312" w:eastAsia="仿宋_GB2312" w:hint="eastAsia"/>
          <w:sz w:val="32"/>
          <w:szCs w:val="32"/>
        </w:rPr>
        <w:t>公车购置</w:t>
      </w:r>
      <w:r w:rsidRPr="008D7157">
        <w:rPr>
          <w:rFonts w:ascii="仿宋_GB2312" w:eastAsia="仿宋_GB2312" w:hint="eastAsia"/>
          <w:sz w:val="32"/>
          <w:szCs w:val="32"/>
        </w:rPr>
        <w:t>1</w:t>
      </w:r>
      <w:r w:rsidRPr="008D7157">
        <w:rPr>
          <w:rFonts w:ascii="仿宋_GB2312" w:eastAsia="仿宋_GB2312" w:hint="eastAsia"/>
          <w:sz w:val="32"/>
          <w:szCs w:val="32"/>
        </w:rPr>
        <w:t>辆</w:t>
      </w:r>
      <w:r w:rsidRPr="008D7157">
        <w:rPr>
          <w:rFonts w:ascii="仿宋_GB2312" w:eastAsia="仿宋_GB2312" w:hint="eastAsia"/>
          <w:sz w:val="32"/>
          <w:szCs w:val="32"/>
        </w:rPr>
        <w:t>；公务用车运行维护费</w:t>
      </w:r>
      <w:r w:rsidRPr="008D7157">
        <w:rPr>
          <w:rFonts w:ascii="仿宋_GB2312" w:eastAsia="仿宋_GB2312" w:hint="eastAsia"/>
          <w:sz w:val="32"/>
          <w:szCs w:val="32"/>
        </w:rPr>
        <w:t>2025</w:t>
      </w:r>
      <w:r w:rsidRPr="008D7157">
        <w:rPr>
          <w:rFonts w:ascii="仿宋_GB2312" w:eastAsia="仿宋_GB2312" w:hint="eastAsia"/>
          <w:sz w:val="32"/>
          <w:szCs w:val="32"/>
        </w:rPr>
        <w:t>年预算数</w:t>
      </w:r>
      <w:r w:rsidRPr="008D7157">
        <w:rPr>
          <w:rFonts w:ascii="仿宋_GB2312" w:eastAsia="仿宋_GB2312" w:hint="eastAsia"/>
          <w:sz w:val="32"/>
          <w:szCs w:val="32"/>
        </w:rPr>
        <w:t>15.00</w:t>
      </w:r>
      <w:r w:rsidRPr="008D7157">
        <w:rPr>
          <w:rFonts w:ascii="仿宋_GB2312" w:eastAsia="仿宋_GB2312" w:hint="eastAsia"/>
          <w:sz w:val="32"/>
          <w:szCs w:val="32"/>
        </w:rPr>
        <w:t>万元，与</w:t>
      </w:r>
      <w:r w:rsidRPr="008D7157">
        <w:rPr>
          <w:rFonts w:ascii="仿宋_GB2312" w:eastAsia="仿宋_GB2312" w:hint="eastAsia"/>
          <w:sz w:val="32"/>
          <w:szCs w:val="32"/>
        </w:rPr>
        <w:t>2024</w:t>
      </w:r>
      <w:r w:rsidRPr="008D7157">
        <w:rPr>
          <w:rFonts w:ascii="仿宋_GB2312" w:eastAsia="仿宋_GB2312" w:hint="eastAsia"/>
          <w:sz w:val="32"/>
          <w:szCs w:val="32"/>
        </w:rPr>
        <w:t>年持平。其中：公务用车燃油</w:t>
      </w:r>
      <w:r w:rsidRPr="008D7157">
        <w:rPr>
          <w:rFonts w:ascii="仿宋_GB2312" w:eastAsia="仿宋_GB2312" w:hint="eastAsia"/>
          <w:sz w:val="32"/>
          <w:szCs w:val="32"/>
        </w:rPr>
        <w:t>8.00</w:t>
      </w:r>
      <w:r w:rsidRPr="008D7157">
        <w:rPr>
          <w:rFonts w:ascii="仿宋_GB2312" w:eastAsia="仿宋_GB2312" w:hint="eastAsia"/>
          <w:sz w:val="32"/>
          <w:szCs w:val="32"/>
        </w:rPr>
        <w:t>万元，公务用车维修</w:t>
      </w:r>
      <w:r w:rsidRPr="008D7157">
        <w:rPr>
          <w:rFonts w:ascii="仿宋_GB2312" w:eastAsia="仿宋_GB2312" w:hint="eastAsia"/>
          <w:sz w:val="32"/>
          <w:szCs w:val="32"/>
        </w:rPr>
        <w:t>2.00</w:t>
      </w:r>
      <w:r w:rsidRPr="008D7157">
        <w:rPr>
          <w:rFonts w:ascii="仿宋_GB2312" w:eastAsia="仿宋_GB2312" w:hint="eastAsia"/>
          <w:sz w:val="32"/>
          <w:szCs w:val="32"/>
        </w:rPr>
        <w:t>万元，公务用车保险</w:t>
      </w:r>
      <w:r w:rsidRPr="008D7157">
        <w:rPr>
          <w:rFonts w:ascii="仿宋_GB2312" w:eastAsia="仿宋_GB2312" w:hint="eastAsia"/>
          <w:sz w:val="32"/>
          <w:szCs w:val="32"/>
        </w:rPr>
        <w:t>2.00</w:t>
      </w:r>
      <w:r w:rsidRPr="008D7157">
        <w:rPr>
          <w:rFonts w:ascii="仿宋_GB2312" w:eastAsia="仿宋_GB2312" w:hint="eastAsia"/>
          <w:sz w:val="32"/>
          <w:szCs w:val="32"/>
        </w:rPr>
        <w:t>万元，其他支出</w:t>
      </w:r>
      <w:r w:rsidRPr="008D7157">
        <w:rPr>
          <w:rFonts w:ascii="仿宋_GB2312" w:eastAsia="仿宋_GB2312" w:hint="eastAsia"/>
          <w:sz w:val="32"/>
          <w:szCs w:val="32"/>
        </w:rPr>
        <w:t>3.00</w:t>
      </w:r>
      <w:r w:rsidRPr="008D7157">
        <w:rPr>
          <w:rFonts w:ascii="仿宋_GB2312" w:eastAsia="仿宋_GB2312" w:hint="eastAsia"/>
          <w:sz w:val="32"/>
          <w:szCs w:val="32"/>
        </w:rPr>
        <w:t>万元。</w:t>
      </w:r>
    </w:p>
    <w:p w:rsidR="00C57C28" w:rsidRDefault="008D7157">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C57C28" w:rsidRDefault="008D7157">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C57C28" w:rsidRPr="008D7157" w:rsidRDefault="008D7157">
      <w:pPr>
        <w:spacing w:line="560" w:lineRule="exact"/>
        <w:ind w:firstLineChars="200" w:firstLine="640"/>
        <w:rPr>
          <w:rFonts w:ascii="仿宋_GB2312" w:eastAsia="仿宋_GB2312" w:hint="eastAsia"/>
          <w:sz w:val="32"/>
          <w:szCs w:val="32"/>
        </w:rPr>
      </w:pPr>
      <w:r w:rsidRPr="008D7157">
        <w:rPr>
          <w:rFonts w:ascii="仿宋_GB2312" w:eastAsia="仿宋_GB2312" w:hint="eastAsia"/>
          <w:sz w:val="32"/>
          <w:szCs w:val="32"/>
        </w:rPr>
        <w:t>2025</w:t>
      </w:r>
      <w:r w:rsidRPr="008D7157">
        <w:rPr>
          <w:rFonts w:ascii="仿宋_GB2312" w:eastAsia="仿宋_GB2312" w:hint="eastAsia"/>
          <w:sz w:val="32"/>
          <w:szCs w:val="32"/>
        </w:rPr>
        <w:t>年北京电</w:t>
      </w:r>
      <w:r w:rsidRPr="008D7157">
        <w:rPr>
          <w:rFonts w:ascii="仿宋_GB2312" w:eastAsia="仿宋_GB2312" w:hAnsi="仿宋" w:hint="eastAsia"/>
          <w:sz w:val="32"/>
          <w:szCs w:val="32"/>
        </w:rPr>
        <w:t>影</w:t>
      </w:r>
      <w:r w:rsidRPr="008D7157">
        <w:rPr>
          <w:rFonts w:ascii="仿宋_GB2312" w:eastAsia="仿宋_GB2312" w:hint="eastAsia"/>
          <w:sz w:val="32"/>
          <w:szCs w:val="32"/>
        </w:rPr>
        <w:t>学院政府采购预算总额</w:t>
      </w:r>
      <w:r w:rsidRPr="008D7157">
        <w:rPr>
          <w:rFonts w:ascii="仿宋_GB2312" w:eastAsia="仿宋_GB2312" w:hint="eastAsia"/>
          <w:sz w:val="32"/>
          <w:szCs w:val="32"/>
        </w:rPr>
        <w:t>6318.55</w:t>
      </w:r>
      <w:r w:rsidRPr="008D7157">
        <w:rPr>
          <w:rFonts w:ascii="仿宋_GB2312" w:eastAsia="仿宋_GB2312" w:hint="eastAsia"/>
          <w:sz w:val="32"/>
          <w:szCs w:val="32"/>
        </w:rPr>
        <w:t>万元，其中：政府采购货物预算</w:t>
      </w:r>
      <w:r w:rsidRPr="008D7157">
        <w:rPr>
          <w:rFonts w:ascii="仿宋_GB2312" w:eastAsia="仿宋_GB2312" w:hint="eastAsia"/>
          <w:sz w:val="32"/>
          <w:szCs w:val="32"/>
        </w:rPr>
        <w:t>1434.98</w:t>
      </w:r>
      <w:r w:rsidRPr="008D7157">
        <w:rPr>
          <w:rFonts w:ascii="仿宋_GB2312" w:eastAsia="仿宋_GB2312" w:hint="eastAsia"/>
          <w:sz w:val="32"/>
          <w:szCs w:val="32"/>
        </w:rPr>
        <w:t>万元，政府采购工程预算</w:t>
      </w:r>
      <w:r w:rsidRPr="008D7157">
        <w:rPr>
          <w:rFonts w:ascii="仿宋_GB2312" w:eastAsia="仿宋_GB2312" w:hint="eastAsia"/>
          <w:sz w:val="32"/>
          <w:szCs w:val="32"/>
        </w:rPr>
        <w:t>1153.91</w:t>
      </w:r>
      <w:r w:rsidRPr="008D7157">
        <w:rPr>
          <w:rFonts w:ascii="仿宋_GB2312" w:eastAsia="仿宋_GB2312" w:hint="eastAsia"/>
          <w:sz w:val="32"/>
          <w:szCs w:val="32"/>
        </w:rPr>
        <w:t>万元，政府采购服务预算</w:t>
      </w:r>
      <w:r w:rsidRPr="008D7157">
        <w:rPr>
          <w:rFonts w:ascii="仿宋_GB2312" w:eastAsia="仿宋_GB2312" w:hint="eastAsia"/>
          <w:sz w:val="32"/>
          <w:szCs w:val="32"/>
        </w:rPr>
        <w:t>3729.66</w:t>
      </w:r>
      <w:r w:rsidRPr="008D7157">
        <w:rPr>
          <w:rFonts w:ascii="仿宋_GB2312" w:eastAsia="仿宋_GB2312" w:hint="eastAsia"/>
          <w:sz w:val="32"/>
          <w:szCs w:val="32"/>
        </w:rPr>
        <w:t>万元。</w:t>
      </w:r>
    </w:p>
    <w:p w:rsidR="00C57C28" w:rsidRDefault="008D7157">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w:t>
      </w:r>
      <w:r>
        <w:rPr>
          <w:rFonts w:ascii="仿宋_GB2312" w:eastAsia="仿宋_GB2312" w:hint="eastAsia"/>
          <w:sz w:val="32"/>
          <w:szCs w:val="32"/>
        </w:rPr>
        <w:t>2025</w:t>
      </w:r>
      <w:r>
        <w:rPr>
          <w:rFonts w:ascii="仿宋_GB2312" w:eastAsia="仿宋_GB2312" w:hint="eastAsia"/>
          <w:sz w:val="32"/>
          <w:szCs w:val="32"/>
        </w:rPr>
        <w:t>年无政府购买服务预算。</w:t>
      </w:r>
    </w:p>
    <w:p w:rsidR="00C57C28" w:rsidRDefault="008D7157">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C57C28" w:rsidRDefault="008D7157">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本单位不在机关运行经费统计范围</w:t>
      </w:r>
      <w:r>
        <w:rPr>
          <w:rFonts w:ascii="仿宋_GB2312" w:eastAsia="仿宋_GB2312" w:hint="eastAsia"/>
          <w:sz w:val="32"/>
          <w:szCs w:val="32"/>
        </w:rPr>
        <w:t>之内。</w:t>
      </w:r>
    </w:p>
    <w:p w:rsidR="00C57C28" w:rsidRDefault="008D7157">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C57C28" w:rsidRPr="008D7157" w:rsidRDefault="008D7157">
      <w:pPr>
        <w:spacing w:line="560" w:lineRule="exact"/>
        <w:ind w:firstLineChars="200" w:firstLine="640"/>
        <w:rPr>
          <w:rFonts w:ascii="仿宋_GB2312" w:eastAsia="仿宋_GB2312" w:hint="eastAsia"/>
          <w:sz w:val="32"/>
          <w:szCs w:val="32"/>
        </w:rPr>
      </w:pPr>
      <w:r w:rsidRPr="008D7157">
        <w:rPr>
          <w:rFonts w:ascii="仿宋_GB2312" w:eastAsia="仿宋_GB2312" w:hint="eastAsia"/>
          <w:sz w:val="32"/>
          <w:szCs w:val="32"/>
        </w:rPr>
        <w:t>2025</w:t>
      </w:r>
      <w:r w:rsidRPr="008D7157">
        <w:rPr>
          <w:rFonts w:ascii="仿宋_GB2312" w:eastAsia="仿宋_GB2312" w:hint="eastAsia"/>
          <w:sz w:val="32"/>
          <w:szCs w:val="32"/>
        </w:rPr>
        <w:t>年，北京电</w:t>
      </w:r>
      <w:r w:rsidRPr="008D7157">
        <w:rPr>
          <w:rFonts w:ascii="仿宋_GB2312" w:eastAsia="仿宋_GB2312" w:hAnsi="仿宋" w:hint="eastAsia"/>
          <w:sz w:val="32"/>
          <w:szCs w:val="32"/>
        </w:rPr>
        <w:t>影</w:t>
      </w:r>
      <w:r w:rsidRPr="008D7157">
        <w:rPr>
          <w:rFonts w:ascii="仿宋_GB2312" w:eastAsia="仿宋_GB2312" w:hint="eastAsia"/>
          <w:sz w:val="32"/>
          <w:szCs w:val="32"/>
        </w:rPr>
        <w:t>学院填报绩效目标的预算项目</w:t>
      </w:r>
      <w:r w:rsidRPr="008D7157">
        <w:rPr>
          <w:rFonts w:ascii="仿宋_GB2312" w:eastAsia="仿宋_GB2312" w:hint="eastAsia"/>
          <w:sz w:val="32"/>
          <w:szCs w:val="32"/>
        </w:rPr>
        <w:t>10</w:t>
      </w:r>
      <w:r w:rsidRPr="008D7157">
        <w:rPr>
          <w:rFonts w:ascii="仿宋_GB2312" w:eastAsia="仿宋_GB2312" w:hint="eastAsia"/>
          <w:sz w:val="32"/>
          <w:szCs w:val="32"/>
        </w:rPr>
        <w:t>个，占本单位本年预算项目</w:t>
      </w:r>
      <w:r w:rsidRPr="008D7157">
        <w:rPr>
          <w:rFonts w:ascii="仿宋_GB2312" w:eastAsia="仿宋_GB2312" w:hint="eastAsia"/>
          <w:sz w:val="32"/>
          <w:szCs w:val="32"/>
        </w:rPr>
        <w:t>10</w:t>
      </w:r>
      <w:r w:rsidRPr="008D7157">
        <w:rPr>
          <w:rFonts w:ascii="仿宋_GB2312" w:eastAsia="仿宋_GB2312" w:hint="eastAsia"/>
          <w:sz w:val="32"/>
          <w:szCs w:val="32"/>
        </w:rPr>
        <w:t>个的</w:t>
      </w:r>
      <w:r w:rsidRPr="008D7157">
        <w:rPr>
          <w:rFonts w:ascii="仿宋_GB2312" w:eastAsia="仿宋_GB2312" w:hint="eastAsia"/>
          <w:sz w:val="32"/>
          <w:szCs w:val="32"/>
        </w:rPr>
        <w:t>100%</w:t>
      </w:r>
      <w:r w:rsidRPr="008D7157">
        <w:rPr>
          <w:rFonts w:ascii="仿宋_GB2312" w:eastAsia="仿宋_GB2312" w:hint="eastAsia"/>
          <w:sz w:val="32"/>
          <w:szCs w:val="32"/>
        </w:rPr>
        <w:t>。填报绩效目标的项目支出预算</w:t>
      </w:r>
      <w:r w:rsidRPr="008D7157">
        <w:rPr>
          <w:rFonts w:ascii="仿宋_GB2312" w:eastAsia="仿宋_GB2312" w:hint="eastAsia"/>
          <w:sz w:val="32"/>
          <w:szCs w:val="32"/>
        </w:rPr>
        <w:t>1815.24</w:t>
      </w:r>
      <w:r w:rsidRPr="008D7157">
        <w:rPr>
          <w:rFonts w:ascii="仿宋_GB2312" w:eastAsia="仿宋_GB2312" w:hint="eastAsia"/>
          <w:sz w:val="32"/>
          <w:szCs w:val="32"/>
        </w:rPr>
        <w:t>万元，占本单位本年项目支出预算的</w:t>
      </w:r>
      <w:r w:rsidRPr="008D7157">
        <w:rPr>
          <w:rFonts w:ascii="仿宋_GB2312" w:eastAsia="仿宋_GB2312" w:hint="eastAsia"/>
          <w:sz w:val="32"/>
          <w:szCs w:val="32"/>
        </w:rPr>
        <w:t>100%</w:t>
      </w:r>
      <w:r w:rsidRPr="008D7157">
        <w:rPr>
          <w:rFonts w:ascii="仿宋_GB2312" w:eastAsia="仿宋_GB2312" w:hint="eastAsia"/>
          <w:sz w:val="32"/>
          <w:szCs w:val="32"/>
        </w:rPr>
        <w:t>。</w:t>
      </w:r>
    </w:p>
    <w:p w:rsidR="00C57C28" w:rsidRDefault="008D7157">
      <w:pPr>
        <w:tabs>
          <w:tab w:val="left" w:pos="6358"/>
        </w:tabs>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r>
        <w:rPr>
          <w:rFonts w:ascii="楷体_GB2312" w:eastAsia="楷体_GB2312"/>
          <w:sz w:val="32"/>
          <w:szCs w:val="32"/>
        </w:rPr>
        <w:tab/>
      </w:r>
    </w:p>
    <w:p w:rsidR="00C57C28" w:rsidRDefault="008D7157">
      <w:pPr>
        <w:widowControl/>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本单位</w:t>
      </w:r>
      <w:r>
        <w:rPr>
          <w:rFonts w:ascii="仿宋_GB2312" w:eastAsia="仿宋_GB2312" w:hint="eastAsia"/>
          <w:sz w:val="32"/>
          <w:szCs w:val="32"/>
        </w:rPr>
        <w:t>2025</w:t>
      </w:r>
      <w:r>
        <w:rPr>
          <w:rFonts w:ascii="仿宋_GB2312" w:eastAsia="仿宋_GB2312" w:hint="eastAsia"/>
          <w:sz w:val="32"/>
          <w:szCs w:val="32"/>
        </w:rPr>
        <w:t>年无重点行政事业性收费。</w:t>
      </w:r>
    </w:p>
    <w:p w:rsidR="00C57C28" w:rsidRDefault="008D7157">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C57C28" w:rsidRDefault="008D7157">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w:t>
      </w:r>
      <w:r>
        <w:rPr>
          <w:rFonts w:ascii="仿宋_GB2312" w:eastAsia="仿宋_GB2312" w:hint="eastAsia"/>
          <w:sz w:val="32"/>
          <w:szCs w:val="32"/>
        </w:rPr>
        <w:t>2025</w:t>
      </w:r>
      <w:r>
        <w:rPr>
          <w:rFonts w:ascii="仿宋_GB2312" w:eastAsia="仿宋_GB2312" w:hint="eastAsia"/>
          <w:color w:val="000000"/>
          <w:sz w:val="32"/>
          <w:szCs w:val="32"/>
        </w:rPr>
        <w:t>年无国有资本经营预算财政拨款安排的预算。</w:t>
      </w:r>
    </w:p>
    <w:p w:rsidR="00C57C28" w:rsidRDefault="008D7157">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（七）国有资产占用情况说明</w:t>
      </w:r>
    </w:p>
    <w:p w:rsidR="00C57C28" w:rsidRPr="008D7157" w:rsidRDefault="008D7157">
      <w:pPr>
        <w:spacing w:line="560" w:lineRule="exact"/>
        <w:ind w:firstLineChars="200" w:firstLine="640"/>
        <w:rPr>
          <w:rFonts w:ascii="仿宋_GB2312" w:eastAsia="仿宋_GB2312" w:hint="eastAsia"/>
          <w:color w:val="000000"/>
          <w:sz w:val="32"/>
          <w:szCs w:val="32"/>
        </w:rPr>
      </w:pPr>
      <w:r w:rsidRPr="008D7157">
        <w:rPr>
          <w:rFonts w:ascii="仿宋_GB2312" w:eastAsia="仿宋_GB2312" w:hint="eastAsia"/>
          <w:color w:val="000000"/>
          <w:sz w:val="32"/>
          <w:szCs w:val="32"/>
        </w:rPr>
        <w:t>截至</w:t>
      </w:r>
      <w:r w:rsidRPr="008D7157">
        <w:rPr>
          <w:rFonts w:ascii="仿宋_GB2312" w:eastAsia="仿宋_GB2312" w:hint="eastAsia"/>
          <w:color w:val="000000"/>
          <w:sz w:val="32"/>
          <w:szCs w:val="32"/>
        </w:rPr>
        <w:t>2024</w:t>
      </w:r>
      <w:r w:rsidRPr="008D7157">
        <w:rPr>
          <w:rFonts w:ascii="仿宋_GB2312" w:eastAsia="仿宋_GB2312" w:hint="eastAsia"/>
          <w:color w:val="000000"/>
          <w:sz w:val="32"/>
          <w:szCs w:val="32"/>
        </w:rPr>
        <w:t>年底，北京电</w:t>
      </w:r>
      <w:r w:rsidRPr="008D7157">
        <w:rPr>
          <w:rFonts w:ascii="仿宋_GB2312" w:eastAsia="仿宋_GB2312" w:hAnsi="仿宋" w:hint="eastAsia"/>
          <w:color w:val="000000"/>
          <w:sz w:val="32"/>
          <w:szCs w:val="32"/>
        </w:rPr>
        <w:t>影</w:t>
      </w:r>
      <w:r w:rsidRPr="008D7157">
        <w:rPr>
          <w:rFonts w:ascii="仿宋_GB2312" w:eastAsia="仿宋_GB2312" w:hint="eastAsia"/>
          <w:color w:val="000000"/>
          <w:sz w:val="32"/>
          <w:szCs w:val="32"/>
        </w:rPr>
        <w:t>学院共有车辆</w:t>
      </w:r>
      <w:r w:rsidRPr="008D7157">
        <w:rPr>
          <w:rFonts w:ascii="仿宋_GB2312" w:eastAsia="仿宋_GB2312" w:hint="eastAsia"/>
          <w:color w:val="000000"/>
          <w:sz w:val="32"/>
          <w:szCs w:val="32"/>
        </w:rPr>
        <w:t>12</w:t>
      </w:r>
      <w:r w:rsidRPr="008D7157">
        <w:rPr>
          <w:rFonts w:ascii="仿宋_GB2312" w:eastAsia="仿宋_GB2312" w:hint="eastAsia"/>
          <w:color w:val="000000"/>
          <w:sz w:val="32"/>
          <w:szCs w:val="32"/>
        </w:rPr>
        <w:t>台，共计</w:t>
      </w:r>
      <w:r w:rsidRPr="008D7157">
        <w:rPr>
          <w:rFonts w:ascii="仿宋_GB2312" w:eastAsia="仿宋_GB2312" w:hint="eastAsia"/>
          <w:color w:val="000000"/>
          <w:sz w:val="32"/>
          <w:szCs w:val="32"/>
        </w:rPr>
        <w:t>347.78</w:t>
      </w:r>
      <w:r w:rsidRPr="008D7157">
        <w:rPr>
          <w:rFonts w:ascii="仿宋_GB2312" w:eastAsia="仿宋_GB2312" w:hint="eastAsia"/>
          <w:color w:val="000000"/>
          <w:sz w:val="32"/>
          <w:szCs w:val="32"/>
        </w:rPr>
        <w:t>万元；单位价值</w:t>
      </w:r>
      <w:r w:rsidRPr="008D7157">
        <w:rPr>
          <w:rFonts w:ascii="仿宋_GB2312" w:eastAsia="仿宋_GB2312" w:hint="eastAsia"/>
          <w:color w:val="000000"/>
          <w:sz w:val="32"/>
          <w:szCs w:val="32"/>
        </w:rPr>
        <w:t>50</w:t>
      </w:r>
      <w:r w:rsidRPr="008D7157">
        <w:rPr>
          <w:rFonts w:ascii="仿宋_GB2312" w:eastAsia="仿宋_GB2312" w:hint="eastAsia"/>
          <w:color w:val="000000"/>
          <w:sz w:val="32"/>
          <w:szCs w:val="32"/>
        </w:rPr>
        <w:t>万元以上的设备</w:t>
      </w:r>
      <w:r w:rsidRPr="008D7157">
        <w:rPr>
          <w:rFonts w:ascii="仿宋_GB2312" w:eastAsia="仿宋_GB2312" w:hint="eastAsia"/>
          <w:color w:val="000000"/>
          <w:sz w:val="32"/>
          <w:szCs w:val="32"/>
        </w:rPr>
        <w:t>279</w:t>
      </w:r>
      <w:r w:rsidRPr="008D7157">
        <w:rPr>
          <w:rFonts w:ascii="仿宋_GB2312" w:eastAsia="仿宋_GB2312" w:hint="eastAsia"/>
          <w:color w:val="000000"/>
          <w:sz w:val="32"/>
          <w:szCs w:val="32"/>
        </w:rPr>
        <w:t>台（套）、共计</w:t>
      </w:r>
      <w:r w:rsidRPr="008D7157">
        <w:rPr>
          <w:rFonts w:ascii="仿宋_GB2312" w:eastAsia="仿宋_GB2312" w:hint="eastAsia"/>
          <w:color w:val="000000"/>
          <w:sz w:val="32"/>
          <w:szCs w:val="32"/>
        </w:rPr>
        <w:t>33896.37</w:t>
      </w:r>
      <w:r w:rsidRPr="008D7157">
        <w:rPr>
          <w:rFonts w:ascii="仿宋_GB2312" w:eastAsia="仿宋_GB2312" w:hint="eastAsia"/>
          <w:color w:val="000000"/>
          <w:sz w:val="32"/>
          <w:szCs w:val="32"/>
        </w:rPr>
        <w:t>万元。</w:t>
      </w:r>
      <w:r w:rsidRPr="008D7157">
        <w:rPr>
          <w:rFonts w:ascii="仿宋_GB2312" w:eastAsia="仿宋_GB2312" w:hint="eastAsia"/>
          <w:color w:val="000000"/>
          <w:sz w:val="32"/>
          <w:szCs w:val="32"/>
        </w:rPr>
        <w:t>2025</w:t>
      </w:r>
      <w:r w:rsidRPr="008D7157">
        <w:rPr>
          <w:rFonts w:ascii="仿宋_GB2312" w:eastAsia="仿宋_GB2312" w:hint="eastAsia"/>
          <w:color w:val="000000"/>
          <w:sz w:val="32"/>
          <w:szCs w:val="32"/>
        </w:rPr>
        <w:t>年预算安排中，购置单位价值</w:t>
      </w:r>
      <w:r w:rsidRPr="008D7157">
        <w:rPr>
          <w:rFonts w:ascii="仿宋_GB2312" w:eastAsia="仿宋_GB2312" w:hint="eastAsia"/>
          <w:color w:val="000000"/>
          <w:sz w:val="32"/>
          <w:szCs w:val="32"/>
        </w:rPr>
        <w:t>50</w:t>
      </w:r>
      <w:r w:rsidRPr="008D7157">
        <w:rPr>
          <w:rFonts w:ascii="仿宋_GB2312" w:eastAsia="仿宋_GB2312" w:hint="eastAsia"/>
          <w:color w:val="000000"/>
          <w:sz w:val="32"/>
          <w:szCs w:val="32"/>
        </w:rPr>
        <w:t>万元以上的设备</w:t>
      </w:r>
      <w:r w:rsidRPr="008D7157">
        <w:rPr>
          <w:rFonts w:ascii="仿宋_GB2312" w:eastAsia="仿宋_GB2312" w:hint="eastAsia"/>
          <w:color w:val="000000"/>
          <w:sz w:val="32"/>
          <w:szCs w:val="32"/>
        </w:rPr>
        <w:t>2</w:t>
      </w:r>
      <w:r w:rsidRPr="008D7157">
        <w:rPr>
          <w:rFonts w:ascii="仿宋_GB2312" w:eastAsia="仿宋_GB2312" w:hint="eastAsia"/>
          <w:color w:val="000000"/>
          <w:sz w:val="32"/>
          <w:szCs w:val="32"/>
        </w:rPr>
        <w:t>台（套），共计</w:t>
      </w:r>
      <w:r w:rsidRPr="008D7157">
        <w:rPr>
          <w:rFonts w:ascii="仿宋_GB2312" w:eastAsia="仿宋_GB2312" w:hint="eastAsia"/>
          <w:color w:val="000000"/>
          <w:sz w:val="32"/>
          <w:szCs w:val="32"/>
        </w:rPr>
        <w:t>370.00</w:t>
      </w:r>
      <w:r w:rsidRPr="008D7157">
        <w:rPr>
          <w:rFonts w:ascii="仿宋_GB2312" w:eastAsia="仿宋_GB2312" w:hint="eastAsia"/>
          <w:color w:val="000000"/>
          <w:sz w:val="32"/>
          <w:szCs w:val="32"/>
        </w:rPr>
        <w:t>万元。</w:t>
      </w:r>
    </w:p>
    <w:p w:rsidR="00C57C28" w:rsidRDefault="008D7157">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六、名词解释</w:t>
      </w:r>
    </w:p>
    <w:p w:rsidR="00C57C28" w:rsidRDefault="008D715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C57C28" w:rsidRDefault="008D715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C57C28" w:rsidRDefault="008D715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w:t>
      </w:r>
      <w:r>
        <w:rPr>
          <w:rFonts w:ascii="仿宋_GB2312" w:eastAsia="仿宋_GB2312" w:hint="eastAsia"/>
          <w:color w:val="000000"/>
          <w:sz w:val="32"/>
          <w:szCs w:val="32"/>
        </w:rPr>
        <w:t>出管理和强化预算约束的有效措施。</w:t>
      </w:r>
    </w:p>
    <w:p w:rsidR="00C57C28" w:rsidRDefault="008D7157">
      <w:pPr>
        <w:rPr>
          <w:rFonts w:ascii="方正小标宋简体" w:eastAsia="方正小标宋简体"/>
          <w:color w:val="000000"/>
          <w:sz w:val="36"/>
          <w:szCs w:val="36"/>
        </w:rPr>
      </w:pPr>
      <w:r>
        <w:rPr>
          <w:rFonts w:ascii="方正小标宋简体" w:eastAsia="方正小标宋简体" w:hint="eastAsia"/>
          <w:color w:val="000000"/>
          <w:sz w:val="36"/>
          <w:szCs w:val="36"/>
        </w:rPr>
        <w:br w:type="page"/>
      </w:r>
    </w:p>
    <w:p w:rsidR="00C57C28" w:rsidRDefault="008D7157">
      <w:pPr>
        <w:spacing w:line="560" w:lineRule="exact"/>
        <w:jc w:val="center"/>
        <w:rPr>
          <w:rFonts w:ascii="方正小标宋简体" w:eastAsia="方正小标宋简体"/>
          <w:color w:val="000000"/>
          <w:sz w:val="36"/>
          <w:szCs w:val="36"/>
        </w:rPr>
      </w:pPr>
      <w:bookmarkStart w:id="0" w:name="_GoBack"/>
      <w:bookmarkEnd w:id="0"/>
      <w:r>
        <w:rPr>
          <w:rFonts w:ascii="方正小标宋简体" w:eastAsia="方正小标宋简体" w:hint="eastAsia"/>
          <w:color w:val="000000"/>
          <w:sz w:val="36"/>
          <w:szCs w:val="36"/>
        </w:rPr>
        <w:t>第二部分</w:t>
      </w:r>
      <w:r>
        <w:rPr>
          <w:rFonts w:ascii="方正小标宋简体" w:eastAsia="方正小标宋简体" w:hint="eastAsia"/>
          <w:color w:val="000000"/>
          <w:sz w:val="36"/>
          <w:szCs w:val="36"/>
        </w:rPr>
        <w:t xml:space="preserve">  2025</w:t>
      </w:r>
      <w:r>
        <w:rPr>
          <w:rFonts w:ascii="方正小标宋简体" w:eastAsia="方正小标宋简体" w:hint="eastAsia"/>
          <w:color w:val="000000"/>
          <w:sz w:val="36"/>
          <w:szCs w:val="36"/>
        </w:rPr>
        <w:t>年度单位预算报表</w:t>
      </w:r>
    </w:p>
    <w:p w:rsidR="00C57C28" w:rsidRDefault="008D7157">
      <w:pPr>
        <w:spacing w:line="560" w:lineRule="exact"/>
        <w:ind w:firstLineChars="200" w:firstLine="640"/>
        <w:rPr>
          <w:rFonts w:ascii="仿宋_GB2312" w:eastAsia="仿宋_GB2312" w:cs="宋体"/>
          <w:color w:val="000000"/>
          <w:kern w:val="0"/>
          <w:sz w:val="32"/>
          <w:szCs w:val="32"/>
          <w:lang w:val="zh-CN"/>
        </w:rPr>
      </w:pPr>
      <w:r>
        <w:rPr>
          <w:rFonts w:ascii="仿宋_GB2312" w:eastAsia="仿宋_GB2312" w:hint="eastAsia"/>
          <w:color w:val="000000"/>
          <w:sz w:val="32"/>
          <w:szCs w:val="32"/>
        </w:rPr>
        <w:t>附件：北京电</w:t>
      </w:r>
      <w:r>
        <w:rPr>
          <w:rFonts w:ascii="仿宋" w:eastAsia="仿宋" w:hAnsi="仿宋" w:hint="eastAsia"/>
          <w:color w:val="000000"/>
          <w:sz w:val="32"/>
          <w:szCs w:val="32"/>
        </w:rPr>
        <w:t>影</w:t>
      </w:r>
      <w:r>
        <w:rPr>
          <w:rFonts w:ascii="仿宋_GB2312" w:eastAsia="仿宋_GB2312" w:hint="eastAsia"/>
          <w:color w:val="000000"/>
          <w:sz w:val="32"/>
          <w:szCs w:val="32"/>
        </w:rPr>
        <w:t>学院</w:t>
      </w:r>
      <w:r>
        <w:rPr>
          <w:rFonts w:ascii="仿宋_GB2312" w:eastAsia="仿宋_GB2312" w:hint="eastAsia"/>
          <w:color w:val="000000"/>
          <w:sz w:val="32"/>
          <w:szCs w:val="32"/>
        </w:rPr>
        <w:t>2025</w:t>
      </w:r>
      <w:r>
        <w:rPr>
          <w:rFonts w:ascii="仿宋_GB2312" w:eastAsia="仿宋_GB2312" w:hint="eastAsia"/>
          <w:color w:val="000000"/>
          <w:sz w:val="32"/>
          <w:szCs w:val="32"/>
        </w:rPr>
        <w:t>年度单位预算报表</w:t>
      </w:r>
      <w:r>
        <w:rPr>
          <w:rFonts w:ascii="仿宋_GB2312" w:eastAsia="仿宋_GB2312" w:cs="宋体" w:hint="eastAsia"/>
          <w:color w:val="000000"/>
          <w:kern w:val="0"/>
          <w:sz w:val="32"/>
          <w:szCs w:val="32"/>
          <w:lang w:val="zh-CN"/>
        </w:rPr>
        <w:t xml:space="preserve"> </w:t>
      </w:r>
    </w:p>
    <w:sectPr w:rsidR="00C57C28" w:rsidSect="00C57C28">
      <w:footerReference w:type="default" r:id="rId10"/>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C28" w:rsidRDefault="00C57C28" w:rsidP="00C57C28">
      <w:r>
        <w:separator/>
      </w:r>
    </w:p>
  </w:endnote>
  <w:endnote w:type="continuationSeparator" w:id="0">
    <w:p w:rsidR="00C57C28" w:rsidRDefault="00C57C28" w:rsidP="00C57C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roid Sans">
    <w:altName w:val="微软雅黑"/>
    <w:charset w:val="00"/>
    <w:family w:val="auto"/>
    <w:pitch w:val="default"/>
    <w:sig w:usb0="00000000" w:usb1="00000000" w:usb2="0000000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4C33C46D-0214-4BAA-97C5-6900707D9ACA}"/>
  </w:font>
  <w:font w:name="楷体_GB2312">
    <w:charset w:val="86"/>
    <w:family w:val="modern"/>
    <w:pitch w:val="default"/>
    <w:sig w:usb0="00000001" w:usb1="080E0000" w:usb2="00000000" w:usb3="00000000" w:csb0="00040000" w:csb1="00000000"/>
    <w:embedRegular r:id="rId2" w:subsetted="1" w:fontKey="{5E27E1F1-4C28-466F-8BC5-EFA3A857D5DB}"/>
  </w:font>
  <w:font w:name="方正小标宋简体">
    <w:panose1 w:val="02010601030101010101"/>
    <w:charset w:val="86"/>
    <w:family w:val="auto"/>
    <w:pitch w:val="variable"/>
    <w:sig w:usb0="00000001" w:usb1="080E0000" w:usb2="00000010" w:usb3="00000000" w:csb0="00040000" w:csb1="00000000"/>
    <w:embedRegular r:id="rId3" w:subsetted="1" w:fontKey="{2D0045AB-C5EE-4834-8697-8E4DEDE687C7}"/>
  </w:font>
  <w:font w:name="仿宋_GB2312">
    <w:panose1 w:val="02010609030101010101"/>
    <w:charset w:val="86"/>
    <w:family w:val="modern"/>
    <w:pitch w:val="fixed"/>
    <w:sig w:usb0="00000001" w:usb1="080E0000" w:usb2="00000010" w:usb3="00000000" w:csb0="00040000" w:csb1="00000000"/>
    <w:embedRegular r:id="rId4" w:subsetted="1" w:fontKey="{F43E2274-8F6A-49F3-BD39-3BB2BE6DDF58}"/>
    <w:embedBold r:id="rId5" w:subsetted="1" w:fontKey="{1E01B6FB-8AB7-4B8C-8CAF-24A56ED595F1}"/>
  </w:font>
  <w:font w:name="仿宋">
    <w:panose1 w:val="02010609060101010101"/>
    <w:charset w:val="86"/>
    <w:family w:val="modern"/>
    <w:pitch w:val="fixed"/>
    <w:sig w:usb0="800002BF" w:usb1="38CF7CFA" w:usb2="00000016" w:usb3="00000000" w:csb0="00040001" w:csb1="00000000"/>
    <w:embedRegular r:id="rId6" w:subsetted="1" w:fontKey="{D7129B83-957F-459C-AEA1-764E58324493}"/>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C28" w:rsidRDefault="00C57C28">
    <w:pPr>
      <w:pStyle w:val="a5"/>
      <w:jc w:val="right"/>
      <w:rPr>
        <w:rFonts w:ascii="宋体" w:hAnsi="宋体"/>
        <w:sz w:val="28"/>
        <w:szCs w:val="28"/>
      </w:rPr>
    </w:pPr>
    <w:r w:rsidRPr="00C57C28">
      <w:rPr>
        <w:sz w:val="28"/>
      </w:rPr>
      <w:pict>
        <v:shapetype id="_x0000_t202" coordsize="21600,21600" o:spt="202" path="m,l,21600r21600,l21600,xe">
          <v:stroke joinstyle="miter"/>
          <v:path gradientshapeok="t" o:connecttype="rect"/>
        </v:shapetype>
        <v:shape id="_x0000_s1026" type="#_x0000_t202" style="position:absolute;left:0;text-align:left;margin-left:104pt;margin-top:0;width:2in;height:2in;z-index:251659264;mso-wrap-style:none;mso-position-horizontal:outside;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filled="f" stroked="f">
          <v:textbox style="mso-fit-shape-to-text:t" inset="0,0,0,0">
            <w:txbxContent>
              <w:p w:rsidR="00C57C28" w:rsidRDefault="00C57C28">
                <w:pPr>
                  <w:pStyle w:val="a5"/>
                  <w:jc w:val="right"/>
                </w:pPr>
                <w:r>
                  <w:rPr>
                    <w:rFonts w:ascii="宋体" w:hAnsi="宋体"/>
                    <w:sz w:val="28"/>
                    <w:szCs w:val="28"/>
                  </w:rPr>
                  <w:fldChar w:fldCharType="begin"/>
                </w:r>
                <w:r w:rsidR="008D7157">
                  <w:rPr>
                    <w:rFonts w:ascii="宋体" w:hAnsi="宋体"/>
                    <w:sz w:val="28"/>
                    <w:szCs w:val="28"/>
                  </w:rPr>
                  <w:instrText>PAGE   \* MERGEFORMAT</w:instrText>
                </w:r>
                <w:r>
                  <w:rPr>
                    <w:rFonts w:ascii="宋体" w:hAnsi="宋体"/>
                    <w:sz w:val="28"/>
                    <w:szCs w:val="28"/>
                  </w:rPr>
                  <w:fldChar w:fldCharType="separate"/>
                </w:r>
                <w:r w:rsidR="008D7157" w:rsidRPr="008D7157">
                  <w:rPr>
                    <w:rFonts w:ascii="宋体" w:hAnsi="宋体"/>
                    <w:noProof/>
                    <w:sz w:val="28"/>
                    <w:szCs w:val="28"/>
                    <w:lang w:val="zh-CN"/>
                  </w:rPr>
                  <w:t>-</w:t>
                </w:r>
                <w:r w:rsidR="008D7157">
                  <w:rPr>
                    <w:rFonts w:ascii="宋体" w:hAnsi="宋体"/>
                    <w:noProof/>
                    <w:sz w:val="28"/>
                    <w:szCs w:val="28"/>
                  </w:rPr>
                  <w:t xml:space="preserve"> 1 -</w:t>
                </w:r>
                <w:r>
                  <w:rPr>
                    <w:rFonts w:ascii="宋体" w:hAnsi="宋体"/>
                    <w:sz w:val="28"/>
                    <w:szCs w:val="28"/>
                  </w:rPr>
                  <w:fldChar w:fldCharType="end"/>
                </w:r>
              </w:p>
            </w:txbxContent>
          </v:textbox>
          <w10:wrap anchorx="margin"/>
        </v:shape>
      </w:pict>
    </w:r>
  </w:p>
  <w:p w:rsidR="00C57C28" w:rsidRDefault="00C57C28">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C28" w:rsidRDefault="00C57C28" w:rsidP="00C57C28">
      <w:r>
        <w:separator/>
      </w:r>
    </w:p>
  </w:footnote>
  <w:footnote w:type="continuationSeparator" w:id="0">
    <w:p w:rsidR="00C57C28" w:rsidRDefault="00C57C28" w:rsidP="00C57C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2E9D19"/>
    <w:multiLevelType w:val="singleLevel"/>
    <w:tmpl w:val="FF2E9D19"/>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TrueTypeFonts/>
  <w:saveSubsetFonts/>
  <w:bordersDoNotSurroundHeader/>
  <w:bordersDoNotSurroundFooter/>
  <w:proofState w:spelling="clean" w:grammar="clean"/>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122"/>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liZDNkMzlkNjJmMDcwMDQ3MjhjM2M2MTk0YjJkYzgifQ=="/>
  </w:docVars>
  <w:rsids>
    <w:rsidRoot w:val="00797F79"/>
    <w:rsid w:val="EF3D4EF9"/>
    <w:rsid w:val="EF7778AA"/>
    <w:rsid w:val="EFDB4341"/>
    <w:rsid w:val="EFDB7C9A"/>
    <w:rsid w:val="EFEF30CE"/>
    <w:rsid w:val="EFFD6B90"/>
    <w:rsid w:val="EFFF9813"/>
    <w:rsid w:val="F279611C"/>
    <w:rsid w:val="F3F77884"/>
    <w:rsid w:val="F51E3B23"/>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EE794A5"/>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FFFF71D4"/>
    <w:rsid w:val="0005432F"/>
    <w:rsid w:val="0018607B"/>
    <w:rsid w:val="0019739F"/>
    <w:rsid w:val="00197B43"/>
    <w:rsid w:val="001E6931"/>
    <w:rsid w:val="001E7876"/>
    <w:rsid w:val="00250245"/>
    <w:rsid w:val="0026128D"/>
    <w:rsid w:val="00266815"/>
    <w:rsid w:val="00283BCE"/>
    <w:rsid w:val="002842C2"/>
    <w:rsid w:val="0032325C"/>
    <w:rsid w:val="00326E27"/>
    <w:rsid w:val="00421AB9"/>
    <w:rsid w:val="00452388"/>
    <w:rsid w:val="005549F1"/>
    <w:rsid w:val="00591FC8"/>
    <w:rsid w:val="005D3B9D"/>
    <w:rsid w:val="00616F16"/>
    <w:rsid w:val="00624E71"/>
    <w:rsid w:val="006A5D8F"/>
    <w:rsid w:val="006A7C86"/>
    <w:rsid w:val="006C59FD"/>
    <w:rsid w:val="006F3CD8"/>
    <w:rsid w:val="006F45AA"/>
    <w:rsid w:val="007305F9"/>
    <w:rsid w:val="0075783E"/>
    <w:rsid w:val="00797F79"/>
    <w:rsid w:val="0081071F"/>
    <w:rsid w:val="00822913"/>
    <w:rsid w:val="00846FFC"/>
    <w:rsid w:val="008A2E8D"/>
    <w:rsid w:val="008B7491"/>
    <w:rsid w:val="008D7157"/>
    <w:rsid w:val="00906607"/>
    <w:rsid w:val="0091545C"/>
    <w:rsid w:val="009E49AA"/>
    <w:rsid w:val="009E6840"/>
    <w:rsid w:val="009F505C"/>
    <w:rsid w:val="00A06841"/>
    <w:rsid w:val="00A269E2"/>
    <w:rsid w:val="00A36494"/>
    <w:rsid w:val="00A60B96"/>
    <w:rsid w:val="00AE41E2"/>
    <w:rsid w:val="00B30773"/>
    <w:rsid w:val="00BE138E"/>
    <w:rsid w:val="00C57C28"/>
    <w:rsid w:val="00C651D5"/>
    <w:rsid w:val="00C67106"/>
    <w:rsid w:val="00D10180"/>
    <w:rsid w:val="00D3577C"/>
    <w:rsid w:val="00DC524B"/>
    <w:rsid w:val="00E81525"/>
    <w:rsid w:val="00EA1D5D"/>
    <w:rsid w:val="00F5194E"/>
    <w:rsid w:val="00FB7542"/>
    <w:rsid w:val="00FC59C8"/>
    <w:rsid w:val="00FF57CE"/>
    <w:rsid w:val="01DE318D"/>
    <w:rsid w:val="0EFFF08B"/>
    <w:rsid w:val="0F491593"/>
    <w:rsid w:val="1556FFE7"/>
    <w:rsid w:val="1D7B2BEA"/>
    <w:rsid w:val="1E2F585A"/>
    <w:rsid w:val="1FB9016F"/>
    <w:rsid w:val="1FE6D21C"/>
    <w:rsid w:val="204F4230"/>
    <w:rsid w:val="21972494"/>
    <w:rsid w:val="23735A5C"/>
    <w:rsid w:val="2F731B75"/>
    <w:rsid w:val="2F7EA178"/>
    <w:rsid w:val="2FEFCACA"/>
    <w:rsid w:val="2FF31CCC"/>
    <w:rsid w:val="33BF5DDC"/>
    <w:rsid w:val="37BFBFEE"/>
    <w:rsid w:val="37FD2E23"/>
    <w:rsid w:val="3AEE7FDD"/>
    <w:rsid w:val="3B1D5808"/>
    <w:rsid w:val="3BFE8EC0"/>
    <w:rsid w:val="3D3B750B"/>
    <w:rsid w:val="3DFB85D7"/>
    <w:rsid w:val="3DFFFEEB"/>
    <w:rsid w:val="3E578A4D"/>
    <w:rsid w:val="3E7746F2"/>
    <w:rsid w:val="3EAFE38B"/>
    <w:rsid w:val="3EFB023F"/>
    <w:rsid w:val="3F5B7215"/>
    <w:rsid w:val="3F6FC1FB"/>
    <w:rsid w:val="3F730350"/>
    <w:rsid w:val="3F76647A"/>
    <w:rsid w:val="3F7D5AD8"/>
    <w:rsid w:val="3FBA30DB"/>
    <w:rsid w:val="3FBFE16E"/>
    <w:rsid w:val="3FF7F9C0"/>
    <w:rsid w:val="3FFBC816"/>
    <w:rsid w:val="40C63523"/>
    <w:rsid w:val="438D45E6"/>
    <w:rsid w:val="48D44964"/>
    <w:rsid w:val="4CD68066"/>
    <w:rsid w:val="4E67CE40"/>
    <w:rsid w:val="4F6D150F"/>
    <w:rsid w:val="4FEE37C7"/>
    <w:rsid w:val="4FFB9147"/>
    <w:rsid w:val="517E78AA"/>
    <w:rsid w:val="53DF3E7F"/>
    <w:rsid w:val="545DF6FA"/>
    <w:rsid w:val="55DE48F6"/>
    <w:rsid w:val="57ADBE82"/>
    <w:rsid w:val="57E332DD"/>
    <w:rsid w:val="57E9CD93"/>
    <w:rsid w:val="57EB425A"/>
    <w:rsid w:val="59D7A30C"/>
    <w:rsid w:val="5BEE7D82"/>
    <w:rsid w:val="5BFC36A8"/>
    <w:rsid w:val="5F5F35ED"/>
    <w:rsid w:val="5FB4B9F0"/>
    <w:rsid w:val="5FBA6CF8"/>
    <w:rsid w:val="5FD532B6"/>
    <w:rsid w:val="5FE95128"/>
    <w:rsid w:val="5FF3352E"/>
    <w:rsid w:val="5FFFD6B5"/>
    <w:rsid w:val="67BF653D"/>
    <w:rsid w:val="67FBD21B"/>
    <w:rsid w:val="69CDDFC6"/>
    <w:rsid w:val="6AFBD4E9"/>
    <w:rsid w:val="6BFE087F"/>
    <w:rsid w:val="6BFF83C2"/>
    <w:rsid w:val="6C5F4E7D"/>
    <w:rsid w:val="6D3F2E98"/>
    <w:rsid w:val="6DB255DC"/>
    <w:rsid w:val="6DFE07CC"/>
    <w:rsid w:val="6DFFB2B9"/>
    <w:rsid w:val="6ECB6C3E"/>
    <w:rsid w:val="6F182E43"/>
    <w:rsid w:val="6F3A9571"/>
    <w:rsid w:val="6FCDA027"/>
    <w:rsid w:val="6FDC8289"/>
    <w:rsid w:val="71FF8133"/>
    <w:rsid w:val="729DB731"/>
    <w:rsid w:val="732F9AB6"/>
    <w:rsid w:val="73A5D6F8"/>
    <w:rsid w:val="74FD455A"/>
    <w:rsid w:val="75D907AF"/>
    <w:rsid w:val="763ED7FC"/>
    <w:rsid w:val="767F6AF6"/>
    <w:rsid w:val="767FBCC8"/>
    <w:rsid w:val="76FE24ED"/>
    <w:rsid w:val="77773C62"/>
    <w:rsid w:val="777F4630"/>
    <w:rsid w:val="77DF7EB6"/>
    <w:rsid w:val="77FABEEF"/>
    <w:rsid w:val="77FC8AD8"/>
    <w:rsid w:val="77FFC18C"/>
    <w:rsid w:val="77FFEDC5"/>
    <w:rsid w:val="78F52093"/>
    <w:rsid w:val="797F48DA"/>
    <w:rsid w:val="79CFCA19"/>
    <w:rsid w:val="7B2E7344"/>
    <w:rsid w:val="7B503CA9"/>
    <w:rsid w:val="7B5B4466"/>
    <w:rsid w:val="7B8DB0E0"/>
    <w:rsid w:val="7BD7C5D4"/>
    <w:rsid w:val="7BDE2E6D"/>
    <w:rsid w:val="7BFAEA32"/>
    <w:rsid w:val="7C9BB5BA"/>
    <w:rsid w:val="7CA5738C"/>
    <w:rsid w:val="7CFF2D90"/>
    <w:rsid w:val="7D629DCE"/>
    <w:rsid w:val="7D7E1C9B"/>
    <w:rsid w:val="7DAF9F6F"/>
    <w:rsid w:val="7DDF7761"/>
    <w:rsid w:val="7DDFEE83"/>
    <w:rsid w:val="7DFBA975"/>
    <w:rsid w:val="7E7F7957"/>
    <w:rsid w:val="7EBE6155"/>
    <w:rsid w:val="7F3BE6B0"/>
    <w:rsid w:val="7F3F94D5"/>
    <w:rsid w:val="7F3FC408"/>
    <w:rsid w:val="7F7AD461"/>
    <w:rsid w:val="7F9BB94C"/>
    <w:rsid w:val="7FB5D6F6"/>
    <w:rsid w:val="7FCD88E5"/>
    <w:rsid w:val="7FF59EC3"/>
    <w:rsid w:val="7FF9E7AB"/>
    <w:rsid w:val="7FFA4ACA"/>
    <w:rsid w:val="7FFF1AF0"/>
    <w:rsid w:val="7FFFFE22"/>
    <w:rsid w:val="923DB5D2"/>
    <w:rsid w:val="97EF9245"/>
    <w:rsid w:val="9B6FD390"/>
    <w:rsid w:val="9BFF5F19"/>
    <w:rsid w:val="9F75BF60"/>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DEF20CF"/>
    <w:rsid w:val="BEEF0D30"/>
    <w:rsid w:val="BEFF6650"/>
    <w:rsid w:val="BF7B23E6"/>
    <w:rsid w:val="BFBFE194"/>
    <w:rsid w:val="BFCFAEF2"/>
    <w:rsid w:val="BFD57FE1"/>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7FF22D7"/>
    <w:rsid w:val="E8FF6CA0"/>
    <w:rsid w:val="EB6F6027"/>
    <w:rsid w:val="EBBD09D3"/>
    <w:rsid w:val="ECBFB1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roid Sans" w:eastAsia="宋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C57C28"/>
    <w:pPr>
      <w:widowControl w:val="0"/>
      <w:jc w:val="both"/>
    </w:pPr>
    <w:rPr>
      <w:rFonts w:ascii="Times New Roman" w:hAnsi="Times New Roman"/>
      <w:kern w:val="2"/>
      <w:sz w:val="21"/>
      <w:szCs w:val="24"/>
    </w:rPr>
  </w:style>
  <w:style w:type="paragraph" w:styleId="1">
    <w:name w:val="heading 1"/>
    <w:basedOn w:val="a"/>
    <w:next w:val="a"/>
    <w:link w:val="1Char"/>
    <w:qFormat/>
    <w:rsid w:val="00C57C28"/>
    <w:pPr>
      <w:keepNext/>
      <w:keepLines/>
      <w:spacing w:before="340" w:after="330" w:line="578" w:lineRule="auto"/>
      <w:outlineLvl w:val="0"/>
    </w:pPr>
    <w:rPr>
      <w:b/>
      <w:bCs/>
      <w:kern w:val="44"/>
      <w:sz w:val="44"/>
      <w:szCs w:val="44"/>
    </w:rPr>
  </w:style>
  <w:style w:type="paragraph" w:styleId="2">
    <w:name w:val="heading 2"/>
    <w:basedOn w:val="a"/>
    <w:next w:val="a"/>
    <w:qFormat/>
    <w:rsid w:val="00C57C28"/>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sid w:val="00C57C28"/>
    <w:rPr>
      <w:rFonts w:eastAsia="楷体_GB2312"/>
      <w:sz w:val="32"/>
      <w:szCs w:val="20"/>
    </w:rPr>
  </w:style>
  <w:style w:type="paragraph" w:styleId="a4">
    <w:name w:val="Balloon Text"/>
    <w:basedOn w:val="a"/>
    <w:link w:val="Char"/>
    <w:qFormat/>
    <w:rsid w:val="00C57C28"/>
    <w:rPr>
      <w:sz w:val="18"/>
      <w:szCs w:val="18"/>
    </w:rPr>
  </w:style>
  <w:style w:type="paragraph" w:styleId="a5">
    <w:name w:val="footer"/>
    <w:basedOn w:val="a"/>
    <w:link w:val="Char0"/>
    <w:uiPriority w:val="99"/>
    <w:qFormat/>
    <w:rsid w:val="00C57C28"/>
    <w:pPr>
      <w:tabs>
        <w:tab w:val="center" w:pos="4153"/>
        <w:tab w:val="right" w:pos="8306"/>
      </w:tabs>
      <w:snapToGrid w:val="0"/>
      <w:jc w:val="left"/>
    </w:pPr>
    <w:rPr>
      <w:sz w:val="18"/>
      <w:szCs w:val="20"/>
    </w:rPr>
  </w:style>
  <w:style w:type="paragraph" w:styleId="a6">
    <w:name w:val="header"/>
    <w:basedOn w:val="a"/>
    <w:link w:val="Char1"/>
    <w:qFormat/>
    <w:rsid w:val="00C57C28"/>
    <w:pPr>
      <w:pBdr>
        <w:bottom w:val="single" w:sz="6" w:space="1" w:color="auto"/>
      </w:pBdr>
      <w:tabs>
        <w:tab w:val="center" w:pos="4153"/>
        <w:tab w:val="right" w:pos="8306"/>
      </w:tabs>
      <w:snapToGrid w:val="0"/>
      <w:jc w:val="center"/>
    </w:pPr>
    <w:rPr>
      <w:sz w:val="18"/>
      <w:szCs w:val="18"/>
    </w:rPr>
  </w:style>
  <w:style w:type="character" w:styleId="a7">
    <w:name w:val="page number"/>
    <w:qFormat/>
    <w:rsid w:val="00C57C28"/>
  </w:style>
  <w:style w:type="character" w:customStyle="1" w:styleId="Char">
    <w:name w:val="批注框文本 Char"/>
    <w:link w:val="a4"/>
    <w:qFormat/>
    <w:rsid w:val="00C57C28"/>
    <w:rPr>
      <w:rFonts w:ascii="Times New Roman" w:hAnsi="Times New Roman"/>
      <w:kern w:val="2"/>
      <w:sz w:val="18"/>
      <w:szCs w:val="18"/>
    </w:rPr>
  </w:style>
  <w:style w:type="character" w:customStyle="1" w:styleId="Char0">
    <w:name w:val="页脚 Char"/>
    <w:link w:val="a5"/>
    <w:uiPriority w:val="99"/>
    <w:qFormat/>
    <w:rsid w:val="00C57C28"/>
    <w:rPr>
      <w:rFonts w:ascii="Times New Roman" w:hAnsi="Times New Roman"/>
      <w:kern w:val="2"/>
      <w:sz w:val="18"/>
    </w:rPr>
  </w:style>
  <w:style w:type="character" w:customStyle="1" w:styleId="Char1">
    <w:name w:val="页眉 Char"/>
    <w:link w:val="a6"/>
    <w:qFormat/>
    <w:rsid w:val="00C57C28"/>
    <w:rPr>
      <w:rFonts w:ascii="Times New Roman" w:hAnsi="Times New Roman"/>
      <w:kern w:val="2"/>
      <w:sz w:val="18"/>
      <w:szCs w:val="18"/>
    </w:rPr>
  </w:style>
  <w:style w:type="character" w:customStyle="1" w:styleId="1Char">
    <w:name w:val="标题 1 Char"/>
    <w:basedOn w:val="a0"/>
    <w:link w:val="1"/>
    <w:rsid w:val="00C57C28"/>
    <w:rPr>
      <w:rFonts w:ascii="Times New Roman" w:hAnsi="Times New Roman"/>
      <w:b/>
      <w:bCs/>
      <w:kern w:val="44"/>
      <w:sz w:val="44"/>
      <w:szCs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chart1.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收入预算</a:t>
            </a:r>
          </a:p>
        </c:rich>
      </c:tx>
      <c:layout/>
      <c:spPr>
        <a:noFill/>
        <a:ln>
          <a:noFill/>
        </a:ln>
        <a:effectLst/>
      </c:spPr>
    </c:title>
    <c:plotArea>
      <c:layout/>
      <c:pieChart>
        <c:varyColors val="1"/>
        <c:ser>
          <c:idx val="0"/>
          <c:order val="0"/>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Pt>
            <c:idx val="3"/>
            <c:spPr>
              <a:solidFill>
                <a:schemeClr val="accent4"/>
              </a:solidFill>
              <a:ln w="19050">
                <a:solidFill>
                  <a:schemeClr val="lt1"/>
                </a:solidFill>
              </a:ln>
              <a:effectLst/>
            </c:spPr>
          </c:dPt>
          <c:dPt>
            <c:idx val="4"/>
            <c:spPr>
              <a:solidFill>
                <a:schemeClr val="accent5"/>
              </a:solidFill>
              <a:ln w="19050">
                <a:solidFill>
                  <a:schemeClr val="lt1"/>
                </a:solidFill>
              </a:ln>
              <a:effectLst/>
            </c:spPr>
          </c:dPt>
          <c:dPt>
            <c:idx val="5"/>
            <c:spPr>
              <a:solidFill>
                <a:schemeClr val="accent6"/>
              </a:solidFill>
              <a:ln w="19050">
                <a:solidFill>
                  <a:schemeClr val="lt1"/>
                </a:solidFill>
              </a:ln>
              <a:effectLst/>
            </c:spPr>
          </c:dPt>
          <c:dLbls>
            <c:dLbl>
              <c:idx val="0"/>
              <c:layout>
                <c:manualLayout>
                  <c:x val="5.1827518794787926E-2"/>
                  <c:y val="-2.0308559802576707E-2"/>
                </c:manualLayout>
              </c:layout>
              <c:dLblPos val="bestFit"/>
              <c:showPercent val="1"/>
              <c:extLst>
                <c:ext xmlns:c15="http://schemas.microsoft.com/office/drawing/2012/chart" uri="{CE6537A1-D6FC-4f65-9D91-7224C49458BB}">
                  <c15:layout/>
                </c:ext>
              </c:extLst>
            </c:dLbl>
            <c:dLbl>
              <c:idx val="1"/>
              <c:layout>
                <c:manualLayout>
                  <c:x val="4.5027167276436221E-2"/>
                  <c:y val="1.3898519882523303E-2"/>
                </c:manualLayout>
              </c:layout>
              <c:dLblPos val="bestFit"/>
              <c:showPercent val="1"/>
              <c:extLst>
                <c:ext xmlns:c15="http://schemas.microsoft.com/office/drawing/2012/chart" uri="{CE6537A1-D6FC-4f65-9D91-7224C49458BB}">
                  <c15:layout/>
                </c:ext>
              </c:extLst>
            </c:dLbl>
            <c:dLbl>
              <c:idx val="2"/>
              <c:layout>
                <c:manualLayout>
                  <c:x val="4.4089433110498815E-4"/>
                  <c:y val="3.2176903192001706E-2"/>
                </c:manualLayout>
              </c:layout>
              <c:dLblPos val="bestFit"/>
              <c:showPercent val="1"/>
              <c:extLst>
                <c:ext xmlns:c15="http://schemas.microsoft.com/office/drawing/2012/chart" uri="{CE6537A1-D6FC-4f65-9D91-7224C49458BB}">
                  <c15:layout/>
                </c:ext>
              </c:extLst>
            </c:dLbl>
            <c:dLbl>
              <c:idx val="3"/>
              <c:layout>
                <c:manualLayout>
                  <c:x val="-3.08720497926885E-2"/>
                  <c:y val="9.246948869006625E-3"/>
                </c:manualLayout>
              </c:layout>
              <c:dLblPos val="bestFit"/>
              <c:showPercent val="1"/>
              <c:extLst>
                <c:ext xmlns:c15="http://schemas.microsoft.com/office/drawing/2012/chart" uri="{CE6537A1-D6FC-4f65-9D91-7224C49458BB}">
                  <c15:layout/>
                </c:ext>
              </c:extLst>
            </c:dLbl>
            <c:dLbl>
              <c:idx val="4"/>
              <c:layout>
                <c:manualLayout>
                  <c:x val="-4.393318964551432E-2"/>
                  <c:y val="-2.2840631703088501E-2"/>
                </c:manualLayout>
              </c:layout>
              <c:dLblPos val="bestFit"/>
              <c:showPercent val="1"/>
              <c:extLst>
                <c:ext xmlns:c15="http://schemas.microsoft.com/office/drawing/2012/chart" uri="{CE6537A1-D6FC-4f65-9D91-7224C49458BB}">
                  <c15:layout/>
                </c:ext>
              </c:extLst>
            </c:dLbl>
            <c:dLbl>
              <c:idx val="5"/>
              <c:layout>
                <c:manualLayout>
                  <c:x val="-1.0875082088561102E-2"/>
                  <c:y val="-3.3189990017316713E-2"/>
                </c:manualLayout>
              </c:layout>
              <c:dLblPos val="bestFit"/>
              <c:showPercent val="1"/>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[工作簿1]Sheet1!$C$1:$C$6</c:f>
              <c:strCache>
                <c:ptCount val="6"/>
                <c:pt idx="0">
                  <c:v>一般公共预算拨款收入</c:v>
                </c:pt>
                <c:pt idx="1">
                  <c:v>财政专户管理资金收入</c:v>
                </c:pt>
                <c:pt idx="2">
                  <c:v>事业收入</c:v>
                </c:pt>
                <c:pt idx="3">
                  <c:v>事业单位经营收入</c:v>
                </c:pt>
                <c:pt idx="4">
                  <c:v>其他收入</c:v>
                </c:pt>
                <c:pt idx="5">
                  <c:v>上年结转结余</c:v>
                </c:pt>
              </c:strCache>
            </c:strRef>
          </c:cat>
          <c:val>
            <c:numRef>
              <c:f>[工作簿1]Sheet1!$D$1:$D$6</c:f>
              <c:numCache>
                <c:formatCode>General</c:formatCode>
                <c:ptCount val="6"/>
                <c:pt idx="0">
                  <c:v>34777.380000000005</c:v>
                </c:pt>
                <c:pt idx="1">
                  <c:v>7638.1</c:v>
                </c:pt>
                <c:pt idx="2">
                  <c:v>1150</c:v>
                </c:pt>
                <c:pt idx="3">
                  <c:v>6915</c:v>
                </c:pt>
                <c:pt idx="4">
                  <c:v>1199</c:v>
                </c:pt>
                <c:pt idx="5">
                  <c:v>34331.229999999996</c:v>
                </c:pt>
              </c:numCache>
            </c:numRef>
          </c:val>
        </c:ser>
        <c:dLbls>
          <c:showPercent val="1"/>
        </c:dLbls>
        <c:firstSliceAng val="0"/>
      </c:pieChart>
      <c:spPr>
        <a:noFill/>
        <a:ln>
          <a:noFill/>
        </a:ln>
        <a:effectLst/>
      </c:spPr>
    </c:plotArea>
    <c:legend>
      <c:legendPos val="b"/>
      <c:layout>
        <c:manualLayout>
          <c:xMode val="edge"/>
          <c:yMode val="edge"/>
          <c:x val="0.76527777777777806"/>
          <c:y val="0.24814814814814803"/>
          <c:w val="0.23055555555555599"/>
          <c:h val="0.62916666666666698"/>
        </c:manualLayout>
      </c:layout>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zh-CN"/>
  <c:chart>
    <c:autoTitleDeleted val="1"/>
    <c:plotArea>
      <c:layout>
        <c:manualLayout>
          <c:layoutTarget val="inner"/>
          <c:xMode val="edge"/>
          <c:yMode val="edge"/>
          <c:x val="0.28555774359414104"/>
          <c:y val="8.4825798644328307E-2"/>
          <c:w val="0.39674886264758308"/>
          <c:h val="0.66586242140293195"/>
        </c:manualLayout>
      </c:layout>
      <c:pieChart>
        <c:varyColors val="1"/>
        <c:ser>
          <c:idx val="0"/>
          <c:order val="0"/>
          <c:tx>
            <c:strRef>
              <c:f>Sheet1!$B$1</c:f>
              <c:strCache>
                <c:ptCount val="1"/>
                <c:pt idx="0">
                  <c:v>支出预算</c:v>
                </c:pt>
              </c:strCache>
            </c:strRef>
          </c:tx>
          <c:dPt>
            <c:idx val="0"/>
          </c:dPt>
          <c:dPt>
            <c:idx val="1"/>
          </c:dPt>
          <c:dLbls>
            <c:dLbl>
              <c:idx val="0"/>
              <c:layout>
                <c:manualLayout>
                  <c:x val="-5.76883042521203E-2"/>
                  <c:y val="2.5247231093017401E-2"/>
                </c:manualLayout>
              </c:layout>
              <c:tx>
                <c:rich>
                  <a:bodyPr/>
                  <a:lstStyle/>
                  <a:p>
                    <a:r>
                      <a:t>9</a:t>
                    </a:r>
                    <a:r>
                      <a:rPr lang="en-US" altLang="zh-CN"/>
                      <a:t>6.59</a:t>
                    </a:r>
                    <a:r>
                      <a:t>%</a:t>
                    </a:r>
                  </a:p>
                </c:rich>
              </c:tx>
              <c:dLblPos val="bestFit"/>
              <c:showPercent val="1"/>
              <c:extLst>
                <c:ext xmlns:c15="http://schemas.microsoft.com/office/drawing/2012/chart" uri="{CE6537A1-D6FC-4f65-9D91-7224C49458BB}">
                  <c15:layout/>
                </c:ext>
              </c:extLst>
            </c:dLbl>
            <c:dLbl>
              <c:idx val="1"/>
              <c:layout>
                <c:manualLayout>
                  <c:x val="-2.2437437314075308E-2"/>
                  <c:y val="-1.4699462876737904E-2"/>
                </c:manualLayout>
              </c:layout>
              <c:tx>
                <c:rich>
                  <a:bodyPr/>
                  <a:lstStyle/>
                  <a:p>
                    <a:r>
                      <a:t>3</a:t>
                    </a:r>
                    <a:r>
                      <a:rPr lang="en-US" altLang="zh-CN"/>
                      <a:t>.41</a:t>
                    </a:r>
                    <a:r>
                      <a:t>%</a:t>
                    </a:r>
                  </a:p>
                </c:rich>
              </c:tx>
              <c:dLblPos val="bestFit"/>
              <c:showPercent val="1"/>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ext>
            </c:extLst>
          </c:dLbls>
          <c:cat>
            <c:strRef>
              <c:f>Sheet1!$A$2:$A$3</c:f>
              <c:strCache>
                <c:ptCount val="2"/>
                <c:pt idx="0">
                  <c:v>基本支出</c:v>
                </c:pt>
                <c:pt idx="1">
                  <c:v>项目支出</c:v>
                </c:pt>
              </c:strCache>
            </c:strRef>
          </c:cat>
          <c:val>
            <c:numRef>
              <c:f>Sheet1!$B$2:$B$3</c:f>
              <c:numCache>
                <c:formatCode>General</c:formatCode>
                <c:ptCount val="2"/>
                <c:pt idx="0">
                  <c:v>63563.24</c:v>
                </c:pt>
                <c:pt idx="1">
                  <c:v>2246.4700000000003</c:v>
                </c:pt>
              </c:numCache>
            </c:numRef>
          </c:val>
        </c:ser>
        <c:dLbls>
          <c:showPercent val="1"/>
        </c:dLbls>
        <c:firstSliceAng val="0"/>
      </c:pieChart>
    </c:plotArea>
    <c:legend>
      <c:legendPos val="r"/>
      <c:layout>
        <c:manualLayout>
          <c:xMode val="edge"/>
          <c:yMode val="edge"/>
          <c:x val="0.40795138202081904"/>
          <c:y val="0.84723232025903294"/>
          <c:w val="0.13721282973507401"/>
          <c:h val="0.14929133858267707"/>
        </c:manualLayout>
      </c:layout>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2363</Words>
  <Characters>517</Characters>
  <Application>Microsoft Office Word</Application>
  <DocSecurity>0</DocSecurity>
  <Lines>4</Lines>
  <Paragraphs>5</Paragraphs>
  <ScaleCrop>false</ScaleCrop>
  <Company>WwW.YlmF.CoM</Company>
  <LinksUpToDate>false</LinksUpToDate>
  <CharactersWithSpaces>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处领导：</dc:title>
  <dc:creator>马荣丽</dc:creator>
  <cp:lastModifiedBy>hp</cp:lastModifiedBy>
  <cp:revision>27</cp:revision>
  <cp:lastPrinted>2025-02-06T09:19:00Z</cp:lastPrinted>
  <dcterms:created xsi:type="dcterms:W3CDTF">2025-02-19T00:00:00Z</dcterms:created>
  <dcterms:modified xsi:type="dcterms:W3CDTF">2025-03-05T02:28:00Z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73006441DFBF43A9A0BB87CAF6CDFC5E</vt:lpwstr>
  </property>
  <property fmtid="{D5CDD505-2E9C-101B-9397-08002B2CF9AE}" pid="4" name="KSOTemplateDocerSaveRecord">
    <vt:lpwstr>eyJoZGlkIjoiNzk3YzUxOTc2MTAyNGNjZTU1YWUwNTU5OGI2YTZkODUiLCJ1c2VySWQiOiIzNTc0NDg4MDgifQ==</vt:lpwstr>
  </property>
</Properties>
</file>