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44"/>
          <w:szCs w:val="44"/>
        </w:rPr>
      </w:pPr>
      <w:r>
        <w:rPr>
          <w:rFonts w:hint="eastAsia" w:ascii="方正小标宋简体" w:hAnsi="方正小标宋简体" w:eastAsia="方正小标宋简体" w:cs="方正小标宋简体"/>
          <w:color w:val="000000"/>
          <w:sz w:val="44"/>
          <w:szCs w:val="44"/>
        </w:rPr>
        <w:t>北京电子科技职业学院</w:t>
      </w:r>
      <w:r>
        <w:rPr>
          <w:rFonts w:hint="eastAsia" w:ascii="方正小标宋简体" w:eastAsia="方正小标宋简体"/>
          <w:color w:val="000000"/>
          <w:sz w:val="44"/>
          <w:szCs w:val="44"/>
        </w:rPr>
        <w:t>2025年度单位预算信息公开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pStyle w:val="2"/>
      </w:pP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rPr>
          <w:rFonts w:ascii="Cambria" w:eastAsia="黑体" w:cs="Times New Roman"/>
          <w:color w:val="000000"/>
          <w:kern w:val="0"/>
          <w:sz w:val="36"/>
          <w:szCs w:val="32"/>
        </w:rPr>
      </w:pPr>
      <w:r>
        <w:rPr>
          <w:rFonts w:ascii="Cambria" w:eastAsia="黑体" w:cs="Times New Roman"/>
          <w:color w:val="000000"/>
          <w:kern w:val="0"/>
          <w:sz w:val="36"/>
          <w:szCs w:val="32"/>
        </w:rPr>
        <w:br w:type="page"/>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电子科技职业学院为公益二类事业单位，主要职责为学校以习近平新时代中国特色社会主义思想为指导，坚持社会主义办学方向，全面贯彻党的教育方针，以立德树人为根本任务、以内涵发展为基本要求、以改革创新为根本动力，培养具有创新实践能力的高端技术技能型人才和应用型人才。</w:t>
      </w:r>
    </w:p>
    <w:p>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pPr>
        <w:ind w:firstLine="640" w:firstLineChars="200"/>
        <w:rPr>
          <w:rFonts w:ascii="仿宋_GB2312" w:eastAsia="仿宋_GB2312"/>
          <w:color w:val="1F3864"/>
          <w:sz w:val="24"/>
          <w:highlight w:val="none"/>
        </w:rPr>
      </w:pPr>
      <w:r>
        <w:rPr>
          <w:rFonts w:hint="eastAsia" w:ascii="仿宋_GB2312" w:eastAsia="仿宋_GB2312"/>
          <w:sz w:val="32"/>
          <w:szCs w:val="32"/>
          <w:highlight w:val="none"/>
        </w:rPr>
        <w:t>北京电子科技职业学院内设</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个机构，分别为：学校党政办公室（支援合作办公室）、党委组织部（统战部、党校、离退休处合署）、党委宣传部、纪检监察办公室、党建工作处（巡察工作办公室）、党委教师工作部（人事处合署）、党委保卫部（处）、党委学生工作部（处）、机关党委、团委、工会、教务处、科技处、国际合作与交流处（港澳台办公室合署）、财务处、审计处、招生就业处 、资产处、后勤</w:t>
      </w:r>
      <w:r>
        <w:rPr>
          <w:rFonts w:hint="eastAsia" w:ascii="仿宋_GB2312" w:eastAsia="仿宋_GB2312"/>
          <w:sz w:val="32"/>
          <w:szCs w:val="32"/>
          <w:highlight w:val="none"/>
          <w:lang w:eastAsia="zh-CN"/>
        </w:rPr>
        <w:t>处、</w:t>
      </w:r>
      <w:r>
        <w:rPr>
          <w:rFonts w:hint="eastAsia" w:ascii="仿宋_GB2312" w:eastAsia="仿宋_GB2312"/>
          <w:sz w:val="32"/>
          <w:szCs w:val="32"/>
          <w:highlight w:val="none"/>
        </w:rPr>
        <w:t>基建处。</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ind w:firstLine="555"/>
        <w:rPr>
          <w:rFonts w:ascii="仿宋_GB2312" w:eastAsia="仿宋_GB2312"/>
          <w:sz w:val="32"/>
          <w:szCs w:val="32"/>
        </w:rPr>
      </w:pPr>
      <w:r>
        <w:rPr>
          <w:rFonts w:hint="eastAsia" w:ascii="仿宋_GB2312" w:eastAsia="仿宋_GB2312"/>
          <w:sz w:val="32"/>
          <w:szCs w:val="32"/>
        </w:rPr>
        <w:t>北京电子科技职业学院行政编制</w:t>
      </w:r>
      <w:r>
        <w:rPr>
          <w:rFonts w:ascii="仿宋_GB2312" w:eastAsia="仿宋_GB2312"/>
          <w:sz w:val="32"/>
          <w:szCs w:val="32"/>
        </w:rPr>
        <w:t>0</w:t>
      </w:r>
      <w:r>
        <w:rPr>
          <w:rFonts w:hint="eastAsia" w:ascii="仿宋_GB2312" w:eastAsia="仿宋_GB2312"/>
          <w:sz w:val="32"/>
          <w:szCs w:val="32"/>
        </w:rPr>
        <w:t>人，实际</w:t>
      </w:r>
      <w:r>
        <w:rPr>
          <w:rFonts w:ascii="仿宋_GB2312" w:eastAsia="仿宋_GB2312"/>
          <w:sz w:val="32"/>
          <w:szCs w:val="32"/>
        </w:rPr>
        <w:t>0</w:t>
      </w:r>
      <w:r>
        <w:rPr>
          <w:rFonts w:hint="eastAsia" w:ascii="仿宋_GB2312" w:eastAsia="仿宋_GB2312"/>
          <w:sz w:val="32"/>
          <w:szCs w:val="32"/>
        </w:rPr>
        <w:t>人；事业编制995人，实际850人；聘用人员（其他聘用人员--临时工）</w:t>
      </w:r>
      <w:r>
        <w:rPr>
          <w:rFonts w:hint="eastAsia" w:ascii="仿宋_GB2312" w:eastAsia="仿宋_GB2312"/>
          <w:sz w:val="32"/>
          <w:szCs w:val="32"/>
          <w:lang w:val="en-US" w:eastAsia="zh-CN"/>
        </w:rPr>
        <w:t>0</w:t>
      </w:r>
      <w:r>
        <w:rPr>
          <w:rFonts w:hint="eastAsia" w:ascii="仿宋_GB2312" w:eastAsia="仿宋_GB2312"/>
          <w:sz w:val="32"/>
          <w:szCs w:val="32"/>
        </w:rPr>
        <w:t>人。</w:t>
      </w:r>
    </w:p>
    <w:p>
      <w:pPr>
        <w:ind w:firstLine="555"/>
        <w:rPr>
          <w:rFonts w:ascii="仿宋_GB2312" w:eastAsia="仿宋_GB2312"/>
          <w:sz w:val="32"/>
          <w:szCs w:val="32"/>
        </w:rPr>
      </w:pPr>
      <w:r>
        <w:rPr>
          <w:rFonts w:hint="eastAsia" w:ascii="仿宋_GB2312" w:eastAsia="仿宋_GB2312"/>
          <w:sz w:val="32"/>
          <w:szCs w:val="32"/>
        </w:rPr>
        <w:t>离退休人员1398人，其中：离休4人，退休1394人。</w:t>
      </w:r>
    </w:p>
    <w:p>
      <w:pPr>
        <w:spacing w:line="560" w:lineRule="exact"/>
        <w:ind w:firstLine="640" w:firstLineChars="200"/>
        <w:rPr>
          <w:rFonts w:ascii="仿宋_GB2312" w:eastAsia="仿宋_GB2312"/>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2025年度收入预算77324.69万元，比2024年年初预算数81806.91万元减少4482.22万元，下降5.48%。</w:t>
      </w:r>
      <w:r>
        <w:rPr>
          <w:rFonts w:hint="eastAsia" w:ascii="仿宋_GB2312" w:eastAsia="仿宋_GB2312"/>
          <w:sz w:val="32"/>
          <w:szCs w:val="32"/>
          <w:lang w:eastAsia="zh-CN"/>
        </w:rPr>
        <w:t>主要原因是</w:t>
      </w:r>
      <w:r>
        <w:rPr>
          <w:rFonts w:hint="eastAsia" w:ascii="仿宋_GB2312" w:eastAsia="仿宋_GB2312"/>
          <w:sz w:val="32"/>
          <w:szCs w:val="32"/>
        </w:rPr>
        <w:t>以前年度</w:t>
      </w:r>
      <w:bookmarkStart w:id="0" w:name="_GoBack"/>
      <w:bookmarkEnd w:id="0"/>
      <w:r>
        <w:rPr>
          <w:rFonts w:hint="eastAsia" w:ascii="仿宋_GB2312" w:eastAsia="仿宋_GB2312"/>
          <w:sz w:val="32"/>
          <w:szCs w:val="32"/>
        </w:rPr>
        <w:t>结转结余资金较上年减少。</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（一）本年财政拨款收入53141.50万元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1.一般公共预算拨款收入53141.50万元。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（二）本年其他资金收入10058.75万元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4.财政专户管理资金收入6577.82万元。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5.事业收入1726.00万元。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8.事业单位经营收入6.00万元。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9.其他收入1748.93万元。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（三）上年结转结余14124.44万元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10.上年结转结余14124.44万元。</w:t>
      </w:r>
    </w:p>
    <w:p>
      <w:pPr>
        <w:pStyle w:val="2"/>
        <w:rPr>
          <w:rFonts w:eastAsia="仿宋_GB2312"/>
        </w:rPr>
      </w:pPr>
      <w:r>
        <w:rPr>
          <w:rFonts w:hint="eastAsia" w:eastAsia="仿宋_GB2312"/>
        </w:rPr>
        <w:drawing>
          <wp:inline distT="0" distB="0" distL="114300" distR="114300">
            <wp:extent cx="5942330" cy="2988310"/>
            <wp:effectExtent l="5080" t="4445" r="15240" b="1714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jc w:val="center"/>
        <w:rPr>
          <w:rFonts w:ascii="仿宋_GB2312" w:eastAsia="仿宋_GB2312"/>
          <w:b w:val="0"/>
          <w:bCs w:val="0"/>
          <w:sz w:val="32"/>
        </w:rPr>
      </w:pPr>
      <w:r>
        <w:rPr>
          <w:rFonts w:hint="eastAsia" w:ascii="仿宋_GB2312" w:eastAsia="仿宋_GB2312"/>
          <w:sz w:val="32"/>
        </w:rPr>
        <w:t>图1：收入预算</w:t>
      </w:r>
    </w:p>
    <w:p>
      <w:pPr>
        <w:ind w:firstLine="640" w:firstLineChars="200"/>
        <w:rPr>
          <w:rFonts w:ascii="仿宋_GB2312" w:eastAsia="仿宋_GB2312"/>
          <w:color w:val="1F3864"/>
          <w:sz w:val="24"/>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2025年支出预算77324.69万元，比2024年年初预算数81806</w:t>
      </w:r>
      <w:r>
        <w:rPr>
          <w:rFonts w:ascii="仿宋_GB2312" w:eastAsia="仿宋_GB2312"/>
          <w:sz w:val="32"/>
          <w:szCs w:val="32"/>
        </w:rPr>
        <w:t>.91</w:t>
      </w:r>
      <w:r>
        <w:rPr>
          <w:rFonts w:hint="eastAsia" w:ascii="仿宋_GB2312" w:eastAsia="仿宋_GB2312"/>
          <w:sz w:val="32"/>
          <w:szCs w:val="32"/>
        </w:rPr>
        <w:t>万元减少4482.22万元，下降5.48%。主要原因是年终结转结余资金较上年减少。</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基本支出预算67478.24万元，占本年支出预算88.79%，比2024年年初预算数</w:t>
      </w:r>
      <w:r>
        <w:rPr>
          <w:rFonts w:ascii="仿宋_GB2312" w:eastAsia="仿宋_GB2312"/>
          <w:sz w:val="32"/>
          <w:szCs w:val="32"/>
        </w:rPr>
        <w:t>69252.76</w:t>
      </w:r>
      <w:r>
        <w:rPr>
          <w:rFonts w:hint="eastAsia" w:ascii="仿宋_GB2312" w:eastAsia="仿宋_GB2312"/>
          <w:sz w:val="32"/>
          <w:szCs w:val="32"/>
        </w:rPr>
        <w:t>万元减少1774.52万元，下降2.57%。</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项目支出预算8521.88万元，比2024年年初预算数</w:t>
      </w:r>
      <w:r>
        <w:rPr>
          <w:rFonts w:ascii="仿宋_GB2312" w:eastAsia="仿宋_GB2312"/>
          <w:sz w:val="32"/>
          <w:szCs w:val="32"/>
        </w:rPr>
        <w:t>5054.15</w:t>
      </w:r>
      <w:r>
        <w:rPr>
          <w:rFonts w:hint="eastAsia" w:ascii="仿宋_GB2312" w:eastAsia="仿宋_GB2312"/>
          <w:sz w:val="32"/>
          <w:szCs w:val="32"/>
        </w:rPr>
        <w:t>万元增加3467.73万元，增长68.62%。其中：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3.对附属单位补助支出0万元。</w:t>
      </w:r>
    </w:p>
    <w:p>
      <w:pPr>
        <w:pStyle w:val="2"/>
        <w:rPr>
          <w:rFonts w:eastAsia="仿宋_GB2312"/>
        </w:rPr>
      </w:pPr>
      <w:r>
        <w:rPr>
          <w:rFonts w:hint="eastAsia" w:eastAsia="仿宋_GB2312"/>
        </w:rPr>
        <w:drawing>
          <wp:inline distT="0" distB="0" distL="114300" distR="114300">
            <wp:extent cx="5256530" cy="2988310"/>
            <wp:effectExtent l="5080" t="4445" r="8890" b="1714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sz w:val="32"/>
        </w:rPr>
      </w:pPr>
      <w:r>
        <w:rPr>
          <w:rFonts w:hint="eastAsia" w:ascii="仿宋_GB2312" w:eastAsia="仿宋_GB2312"/>
          <w:sz w:val="32"/>
        </w:rPr>
        <w:t>图2：基本支出和项目支出情况</w:t>
      </w:r>
    </w:p>
    <w:p>
      <w:pPr>
        <w:numPr>
          <w:ilvl w:val="0"/>
          <w:numId w:val="2"/>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w:t>
      </w:r>
      <w:r>
        <w:rPr>
          <w:rFonts w:hint="eastAsia" w:ascii="楷体_GB2312" w:eastAsia="楷体_GB2312"/>
          <w:sz w:val="32"/>
          <w:szCs w:val="32"/>
        </w:rPr>
        <w:t>1324.57</w:t>
      </w:r>
      <w:r>
        <w:rPr>
          <w:rFonts w:hint="eastAsia" w:ascii="楷体_GB2312" w:hAnsi="楷体_GB2312" w:eastAsia="楷体_GB2312" w:cs="楷体_GB2312"/>
          <w:color w:val="000000"/>
          <w:sz w:val="32"/>
          <w:szCs w:val="32"/>
        </w:rPr>
        <w:t>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北京电子科技职业学院因公出国（境）费用、公务接待费、公务用车购置和运行维护费开支单位包括1个所属单位。其他所属单位2025年无财政拨款安排的“三公”经费预算。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2025年财政拨款“三公”经费预算72.82万元，比2024年财政拨款“三公”经费预算增加17.98万元。其中：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1.因公出国（境）费用。2025年预算数41.04万元，与2024年持平。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2.公务接待费。2025年预算数0万元，与2024年持平。</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2025年预算数31.78万元，包括：公务用车购置费2025年预算数17.98万元，比2024年年初预算数0万元增加17.98万元，主要原因：根据事业发展需要，拟新增公车购置1辆。公务用车运行维护费2025年预算数13.80万元，其中：公务用车燃油0万元，公务用车维修7.10万元，公务用车保险3.00万元，其他支出3.70万元。公务用车运行维护费2025年预算数与2024年持平。</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ind w:firstLine="640" w:firstLineChars="200"/>
        <w:rPr>
          <w:rFonts w:ascii="仿宋_GB2312" w:eastAsia="仿宋_GB2312"/>
          <w:color w:val="1F3864"/>
          <w:sz w:val="24"/>
        </w:rPr>
      </w:pPr>
      <w:r>
        <w:rPr>
          <w:rFonts w:hint="eastAsia" w:ascii="仿宋_GB2312" w:eastAsia="仿宋_GB2312"/>
          <w:sz w:val="32"/>
          <w:szCs w:val="32"/>
        </w:rPr>
        <w:t>2025年北京电子科技职业学院政府采购预算总额13263.45万元，其中：政府采购货物预算8141.41万元，政府采购工程预算1124.39万元，政府采购服务预算3997.65万元。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ind w:firstLine="600"/>
        <w:rPr>
          <w:rFonts w:ascii="仿宋_GB2312" w:eastAsia="仿宋_GB2312"/>
          <w:sz w:val="32"/>
          <w:szCs w:val="32"/>
        </w:rPr>
      </w:pPr>
      <w:r>
        <w:rPr>
          <w:rFonts w:hint="eastAsia" w:ascii="仿宋_GB2312" w:eastAsia="仿宋_GB2312"/>
          <w:sz w:val="32"/>
          <w:szCs w:val="32"/>
        </w:rPr>
        <w:t>本单位2025年无政府购买服务预算。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ind w:firstLine="640" w:firstLineChars="200"/>
      </w:pPr>
      <w:r>
        <w:rPr>
          <w:rFonts w:hint="eastAsia" w:ascii="仿宋_GB2312" w:eastAsia="仿宋_GB2312"/>
          <w:sz w:val="32"/>
          <w:szCs w:val="32"/>
        </w:rPr>
        <w:t>我单位不在机关运行经费统计范围之内。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ind w:firstLine="640" w:firstLineChars="200"/>
        <w:rPr>
          <w:rFonts w:ascii="仿宋_GB2312" w:eastAsia="仿宋_GB2312"/>
          <w:sz w:val="32"/>
          <w:szCs w:val="32"/>
        </w:rPr>
      </w:pPr>
      <w:r>
        <w:rPr>
          <w:rFonts w:hint="eastAsia" w:ascii="仿宋_GB2312" w:eastAsia="仿宋_GB2312"/>
          <w:sz w:val="32"/>
          <w:szCs w:val="32"/>
        </w:rPr>
        <w:t>2025年，北京电子科技职业学院填报绩效目标的预算项目14个，占本单位本年预算项目14个的100%。填报绩效目标的项目支出预算7997.44万元，占本单位本年项目支出预算的100%。</w:t>
      </w:r>
    </w:p>
    <w:p>
      <w:pPr>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本单位2025年无重点行政事业性收费。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（七）国有资产占用情况说明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截至2024年底，北京电子科技职业学院共有车辆</w:t>
      </w:r>
      <w:r>
        <w:rPr>
          <w:rFonts w:ascii="仿宋_GB2312" w:eastAsia="仿宋_GB2312"/>
          <w:color w:val="000000"/>
          <w:sz w:val="32"/>
          <w:szCs w:val="32"/>
        </w:rPr>
        <w:t>7</w:t>
      </w:r>
      <w:r>
        <w:rPr>
          <w:rFonts w:hint="eastAsia" w:ascii="仿宋_GB2312" w:eastAsia="仿宋_GB2312"/>
          <w:color w:val="000000"/>
          <w:sz w:val="32"/>
          <w:szCs w:val="32"/>
        </w:rPr>
        <w:t>台，共计</w:t>
      </w:r>
      <w:r>
        <w:rPr>
          <w:rFonts w:ascii="仿宋_GB2312" w:eastAsia="仿宋_GB2312"/>
          <w:color w:val="000000"/>
          <w:sz w:val="32"/>
          <w:szCs w:val="32"/>
        </w:rPr>
        <w:t>179.84</w:t>
      </w:r>
      <w:r>
        <w:rPr>
          <w:rFonts w:hint="eastAsia" w:ascii="仿宋_GB2312" w:eastAsia="仿宋_GB2312"/>
          <w:color w:val="000000"/>
          <w:sz w:val="32"/>
          <w:szCs w:val="32"/>
        </w:rPr>
        <w:t>万元；</w:t>
      </w:r>
      <w:r>
        <w:rPr>
          <w:rFonts w:hint="eastAsia" w:ascii="仿宋_GB2312" w:eastAsia="仿宋_GB2312" w:cs="仿宋_GB2312"/>
          <w:color w:val="000000"/>
          <w:sz w:val="32"/>
          <w:szCs w:val="32"/>
          <w:lang w:bidi="ar"/>
        </w:rPr>
        <w:t>单位价值50万元以上的设备</w:t>
      </w:r>
      <w:r>
        <w:rPr>
          <w:rFonts w:hint="eastAsia" w:ascii="仿宋_GB2312" w:eastAsia="仿宋_GB2312"/>
          <w:color w:val="000000"/>
          <w:sz w:val="32"/>
          <w:szCs w:val="32"/>
          <w:lang w:bidi="ar"/>
        </w:rPr>
        <w:t>1</w:t>
      </w:r>
      <w:r>
        <w:rPr>
          <w:rFonts w:hint="eastAsia" w:ascii="仿宋_GB2312" w:eastAsia="仿宋_GB2312" w:cs="仿宋_GB2312"/>
          <w:color w:val="000000"/>
          <w:sz w:val="32"/>
          <w:szCs w:val="32"/>
          <w:lang w:bidi="ar"/>
        </w:rPr>
        <w:t>84台（套）、共计</w:t>
      </w:r>
      <w:r>
        <w:rPr>
          <w:rFonts w:hint="eastAsia" w:ascii="仿宋_GB2312" w:eastAsia="仿宋_GB2312"/>
          <w:color w:val="000000"/>
          <w:sz w:val="32"/>
          <w:szCs w:val="32"/>
          <w:lang w:bidi="ar"/>
        </w:rPr>
        <w:t>1</w:t>
      </w:r>
      <w:r>
        <w:rPr>
          <w:rFonts w:hint="eastAsia" w:ascii="仿宋_GB2312" w:eastAsia="仿宋_GB2312" w:cs="仿宋_GB2312"/>
          <w:color w:val="000000"/>
          <w:sz w:val="32"/>
          <w:szCs w:val="32"/>
          <w:lang w:bidi="ar"/>
        </w:rPr>
        <w:t>7937.34万元</w:t>
      </w:r>
      <w:r>
        <w:rPr>
          <w:rFonts w:hint="eastAsia" w:ascii="仿宋_GB2312" w:eastAsia="仿宋_GB2312"/>
          <w:color w:val="000000"/>
          <w:sz w:val="32"/>
          <w:szCs w:val="32"/>
        </w:rPr>
        <w:t>。2025年预算安排中，拟购置单位价值50万元以上的设备74台（套），共计7057.20万元。</w:t>
      </w:r>
    </w:p>
    <w:p>
      <w:pPr>
        <w:numPr>
          <w:ilvl w:val="0"/>
          <w:numId w:val="3"/>
        </w:numPr>
        <w:spacing w:line="560" w:lineRule="exact"/>
        <w:ind w:firstLine="640" w:firstLineChars="200"/>
        <w:rPr>
          <w:rFonts w:ascii="黑体" w:eastAsia="黑体"/>
          <w:color w:val="000000"/>
          <w:sz w:val="32"/>
          <w:szCs w:val="32"/>
        </w:rPr>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rPr>
          <w:rFonts w:ascii="仿宋_GB2312" w:eastAsia="仿宋_GB2312"/>
          <w:color w:val="000000"/>
          <w:sz w:val="32"/>
          <w:szCs w:val="32"/>
        </w:rPr>
      </w:pPr>
      <w:r>
        <w:rPr>
          <w:rFonts w:hint="eastAsia" w:ascii="仿宋_GB2312" w:eastAsia="仿宋_GB2312"/>
          <w:color w:val="000000"/>
          <w:sz w:val="32"/>
          <w:szCs w:val="32"/>
        </w:rPr>
        <w:br w:type="page"/>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pPr>
        <w:spacing w:line="560" w:lineRule="exact"/>
        <w:ind w:firstLine="640" w:firstLineChars="200"/>
        <w:rPr>
          <w:rFonts w:ascii="仿宋_GB2312" w:eastAsia="仿宋_GB2312" w:cs="宋体"/>
          <w:color w:val="000000"/>
          <w:kern w:val="0"/>
          <w:sz w:val="32"/>
          <w:szCs w:val="32"/>
          <w:lang w:val="zh-CN"/>
        </w:rPr>
      </w:pPr>
      <w:r>
        <w:rPr>
          <w:rFonts w:hint="eastAsia" w:ascii="仿宋_GB2312" w:eastAsia="仿宋_GB2312"/>
          <w:color w:val="000000"/>
          <w:sz w:val="32"/>
          <w:szCs w:val="32"/>
        </w:rPr>
        <w:t>附件：北京电子科技职业学院2025年度单位预算报表</w:t>
      </w:r>
      <w:r>
        <w:rPr>
          <w:rFonts w:hint="eastAsia" w:ascii="仿宋_GB2312" w:eastAsia="仿宋_GB2312" w:cs="宋体"/>
          <w:color w:val="000000"/>
          <w:kern w:val="0"/>
          <w:sz w:val="32"/>
          <w:szCs w:val="32"/>
          <w:lang w:val="zh-CN"/>
        </w:rPr>
        <w:t xml:space="preserve"> </w:t>
      </w:r>
    </w:p>
    <w:p>
      <w:pPr>
        <w:spacing w:line="560" w:lineRule="exact"/>
        <w:ind w:firstLine="640" w:firstLineChars="200"/>
        <w:rPr>
          <w:rFonts w:ascii="仿宋_GB2312" w:eastAsia="仿宋_GB2312"/>
          <w:color w:val="000000"/>
          <w:sz w:val="32"/>
          <w:szCs w:val="32"/>
        </w:rPr>
      </w:pPr>
    </w:p>
    <w:p>
      <w:pPr>
        <w:rPr>
          <w:rFonts w:ascii="仿宋_GB2312" w:eastAsia="仿宋_GB2312"/>
          <w:sz w:val="32"/>
          <w:szCs w:val="32"/>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Droid Sans">
    <w:altName w:val="华文中宋"/>
    <w:panose1 w:val="00000000000000000000"/>
    <w:charset w:val="00"/>
    <w:family w:val="auto"/>
    <w:pitch w:val="default"/>
    <w:sig w:usb0="00000000" w:usb1="00000000" w:usb2="00000000" w:usb3="00000000" w:csb0="00040001" w:csb1="00000000"/>
  </w:font>
  <w:font w:name="Cambria">
    <w:panose1 w:val="02040803050406030204"/>
    <w:charset w:val="00"/>
    <w:family w:val="roman"/>
    <w:pitch w:val="default"/>
    <w:sig w:usb0="E00006FF" w:usb1="4000045F"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bzTZ+KgBAABCAwAADgAAAAAAAAABACAAAAA0AQAAZHJzL2Uyb0RvYy54bWxQSwUGAAAA&#10;AAYABgBZAQAATgU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703FF"/>
    <w:multiLevelType w:val="singleLevel"/>
    <w:tmpl w:val="AA5703FF"/>
    <w:lvl w:ilvl="0" w:tentative="0">
      <w:start w:val="2"/>
      <w:numFmt w:val="chineseCounting"/>
      <w:suff w:val="nothing"/>
      <w:lvlText w:val="（%1）"/>
      <w:lvlJc w:val="left"/>
      <w:rPr>
        <w:rFonts w:hint="eastAsia"/>
      </w:rPr>
    </w:lvl>
  </w:abstractNum>
  <w:abstractNum w:abstractNumId="1">
    <w:nsid w:val="FF2E9D19"/>
    <w:multiLevelType w:val="singleLevel"/>
    <w:tmpl w:val="FF2E9D19"/>
    <w:lvl w:ilvl="0" w:tentative="0">
      <w:start w:val="3"/>
      <w:numFmt w:val="chineseCounting"/>
      <w:suff w:val="nothing"/>
      <w:lvlText w:val="（%1）"/>
      <w:lvlJc w:val="left"/>
      <w:rPr>
        <w:rFonts w:hint="eastAsia"/>
      </w:rPr>
    </w:lvl>
  </w:abstractNum>
  <w:abstractNum w:abstractNumId="2">
    <w:nsid w:val="3EE4606C"/>
    <w:multiLevelType w:val="singleLevel"/>
    <w:tmpl w:val="3EE4606C"/>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YjhhYTRjZmU5YzAyNjhjMjUwNmNjYWYwMzUwYzUifQ=="/>
  </w:docVars>
  <w:rsids>
    <w:rsidRoot w:val="48920D15"/>
    <w:rsid w:val="000A3EBC"/>
    <w:rsid w:val="003D17E2"/>
    <w:rsid w:val="00612345"/>
    <w:rsid w:val="00952144"/>
    <w:rsid w:val="00B01BC6"/>
    <w:rsid w:val="00C91C98"/>
    <w:rsid w:val="00E20FB1"/>
    <w:rsid w:val="0154182C"/>
    <w:rsid w:val="024535A0"/>
    <w:rsid w:val="03FA6D38"/>
    <w:rsid w:val="04966335"/>
    <w:rsid w:val="076D1A54"/>
    <w:rsid w:val="07866291"/>
    <w:rsid w:val="0A36214C"/>
    <w:rsid w:val="0B6F107F"/>
    <w:rsid w:val="0BBC2B25"/>
    <w:rsid w:val="0BD47E6F"/>
    <w:rsid w:val="0C0E77A3"/>
    <w:rsid w:val="0D8B27AF"/>
    <w:rsid w:val="0E670F34"/>
    <w:rsid w:val="11F57D39"/>
    <w:rsid w:val="14B65DD6"/>
    <w:rsid w:val="14B7657F"/>
    <w:rsid w:val="1519357C"/>
    <w:rsid w:val="16610551"/>
    <w:rsid w:val="16DF0B84"/>
    <w:rsid w:val="187118C1"/>
    <w:rsid w:val="18F22749"/>
    <w:rsid w:val="1A161234"/>
    <w:rsid w:val="1C6C0027"/>
    <w:rsid w:val="1CD53A47"/>
    <w:rsid w:val="1D36136A"/>
    <w:rsid w:val="1D566CEA"/>
    <w:rsid w:val="20B63B8F"/>
    <w:rsid w:val="22CF1D97"/>
    <w:rsid w:val="254B640F"/>
    <w:rsid w:val="255E0351"/>
    <w:rsid w:val="29266E45"/>
    <w:rsid w:val="29E52B9D"/>
    <w:rsid w:val="29E76B67"/>
    <w:rsid w:val="2BC53F4C"/>
    <w:rsid w:val="2E010640"/>
    <w:rsid w:val="315869BA"/>
    <w:rsid w:val="31B96524"/>
    <w:rsid w:val="33354DE7"/>
    <w:rsid w:val="34C70446"/>
    <w:rsid w:val="356A6061"/>
    <w:rsid w:val="35881FB4"/>
    <w:rsid w:val="36D731B7"/>
    <w:rsid w:val="39A27EE2"/>
    <w:rsid w:val="3C7872B1"/>
    <w:rsid w:val="3E816F07"/>
    <w:rsid w:val="3F886912"/>
    <w:rsid w:val="409C0254"/>
    <w:rsid w:val="40DE09B8"/>
    <w:rsid w:val="420936C7"/>
    <w:rsid w:val="424A2FA7"/>
    <w:rsid w:val="432B30AA"/>
    <w:rsid w:val="445350CD"/>
    <w:rsid w:val="44C66686"/>
    <w:rsid w:val="44E8259C"/>
    <w:rsid w:val="45230F44"/>
    <w:rsid w:val="45F92CCB"/>
    <w:rsid w:val="45FE72BB"/>
    <w:rsid w:val="4696554B"/>
    <w:rsid w:val="471303FD"/>
    <w:rsid w:val="47A8634D"/>
    <w:rsid w:val="48920D15"/>
    <w:rsid w:val="4BE54C97"/>
    <w:rsid w:val="4ECA400D"/>
    <w:rsid w:val="502913D8"/>
    <w:rsid w:val="53652E3E"/>
    <w:rsid w:val="53E75832"/>
    <w:rsid w:val="543C0C79"/>
    <w:rsid w:val="55B2735B"/>
    <w:rsid w:val="55D3606E"/>
    <w:rsid w:val="579D4CD1"/>
    <w:rsid w:val="59B44408"/>
    <w:rsid w:val="5A911684"/>
    <w:rsid w:val="5B87743D"/>
    <w:rsid w:val="5BEC14F4"/>
    <w:rsid w:val="615F43D0"/>
    <w:rsid w:val="622B3CC8"/>
    <w:rsid w:val="62A07D66"/>
    <w:rsid w:val="62EA5256"/>
    <w:rsid w:val="64E64E95"/>
    <w:rsid w:val="67281F92"/>
    <w:rsid w:val="68264723"/>
    <w:rsid w:val="6B726D7A"/>
    <w:rsid w:val="6D535DE9"/>
    <w:rsid w:val="6D8C4A01"/>
    <w:rsid w:val="6D8E6FF3"/>
    <w:rsid w:val="710D2EBE"/>
    <w:rsid w:val="730F0118"/>
    <w:rsid w:val="736761B5"/>
    <w:rsid w:val="763071C3"/>
    <w:rsid w:val="76F7637A"/>
    <w:rsid w:val="77471FC0"/>
    <w:rsid w:val="77D45F4A"/>
    <w:rsid w:val="788B231D"/>
    <w:rsid w:val="7A73548D"/>
    <w:rsid w:val="7CEA58C8"/>
    <w:rsid w:val="FF6D8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0"/>
    <w:qFormat/>
    <w:uiPriority w:val="0"/>
    <w:pPr>
      <w:jc w:val="left"/>
    </w:pPr>
  </w:style>
  <w:style w:type="paragraph" w:styleId="4">
    <w:name w:val="Balloon Text"/>
    <w:basedOn w:val="1"/>
    <w:link w:val="12"/>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annotation subject"/>
    <w:basedOn w:val="3"/>
    <w:next w:val="3"/>
    <w:link w:val="11"/>
    <w:qFormat/>
    <w:uiPriority w:val="0"/>
    <w:rPr>
      <w:b/>
      <w:bCs/>
    </w:rPr>
  </w:style>
  <w:style w:type="character" w:styleId="9">
    <w:name w:val="annotation reference"/>
    <w:basedOn w:val="8"/>
    <w:qFormat/>
    <w:uiPriority w:val="0"/>
    <w:rPr>
      <w:sz w:val="21"/>
      <w:szCs w:val="21"/>
    </w:rPr>
  </w:style>
  <w:style w:type="character" w:customStyle="1" w:styleId="10">
    <w:name w:val="批注文字 字符"/>
    <w:basedOn w:val="8"/>
    <w:link w:val="3"/>
    <w:qFormat/>
    <w:uiPriority w:val="0"/>
    <w:rPr>
      <w:rFonts w:cs="Droid Sans"/>
      <w:kern w:val="2"/>
      <w:sz w:val="21"/>
      <w:szCs w:val="24"/>
    </w:rPr>
  </w:style>
  <w:style w:type="character" w:customStyle="1" w:styleId="11">
    <w:name w:val="批注主题 字符"/>
    <w:basedOn w:val="10"/>
    <w:link w:val="6"/>
    <w:qFormat/>
    <w:uiPriority w:val="0"/>
    <w:rPr>
      <w:rFonts w:cs="Droid Sans"/>
      <w:b/>
      <w:bCs/>
      <w:kern w:val="2"/>
      <w:sz w:val="21"/>
      <w:szCs w:val="24"/>
    </w:rPr>
  </w:style>
  <w:style w:type="character" w:customStyle="1" w:styleId="12">
    <w:name w:val="批注框文本 字符"/>
    <w:basedOn w:val="8"/>
    <w:link w:val="4"/>
    <w:qFormat/>
    <w:uiPriority w:val="0"/>
    <w:rPr>
      <w:rFonts w:cs="Droid Sans"/>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1" i="0" u="none" strike="noStrike" kern="1200" baseline="0">
                <a:solidFill>
                  <a:schemeClr val="tx1">
                    <a:lumMod val="75000"/>
                    <a:lumOff val="25000"/>
                  </a:schemeClr>
                </a:solidFill>
                <a:latin typeface="+mn-lt"/>
                <a:ea typeface="+mn-ea"/>
                <a:cs typeface="+mn-cs"/>
              </a:defRPr>
            </a:pPr>
            <a:r>
              <a:rPr lang="zh-CN" altLang="en-US"/>
              <a:t>收入预算</a:t>
            </a:r>
            <a:endParaRPr lang="zh-CN" altLang="en-US"/>
          </a:p>
        </c:rich>
      </c:tx>
      <c:layout/>
      <c:overlay val="false"/>
      <c:spPr>
        <a:noFill/>
        <a:ln>
          <a:noFill/>
        </a:ln>
        <a:effectLst/>
      </c:spPr>
    </c:title>
    <c:autoTitleDeleted val="false"/>
    <c:plotArea>
      <c:layout/>
      <c:pieChart>
        <c:varyColors val="true"/>
        <c:ser>
          <c:idx val="0"/>
          <c:order val="0"/>
          <c:spPr/>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Pt>
            <c:idx val="2"/>
            <c:bubble3D val="false"/>
            <c:spPr>
              <a:solidFill>
                <a:schemeClr val="accent3"/>
              </a:solidFill>
              <a:ln>
                <a:solidFill>
                  <a:schemeClr val="bg1"/>
                </a:solidFill>
              </a:ln>
              <a:effectLst/>
            </c:spPr>
          </c:dPt>
          <c:dPt>
            <c:idx val="3"/>
            <c:bubble3D val="false"/>
            <c:spPr>
              <a:solidFill>
                <a:schemeClr val="accent4"/>
              </a:solidFill>
              <a:ln>
                <a:solidFill>
                  <a:schemeClr val="bg1"/>
                </a:solidFill>
              </a:ln>
              <a:effectLst/>
            </c:spPr>
          </c:dPt>
          <c:dPt>
            <c:idx val="4"/>
            <c:bubble3D val="false"/>
            <c:spPr>
              <a:solidFill>
                <a:schemeClr val="accent5"/>
              </a:solidFill>
              <a:ln>
                <a:solidFill>
                  <a:schemeClr val="bg1"/>
                </a:solidFill>
              </a:ln>
              <a:effectLst/>
            </c:spPr>
          </c:dPt>
          <c:dPt>
            <c:idx val="5"/>
            <c:bubble3D val="false"/>
            <c:spPr>
              <a:solidFill>
                <a:schemeClr val="accent6"/>
              </a:solidFill>
              <a:ln>
                <a:solidFill>
                  <a:schemeClr val="bg1"/>
                </a:solidFill>
              </a:ln>
              <a:effectLst/>
            </c:spPr>
          </c:dPt>
          <c:dPt>
            <c:idx val="6"/>
            <c:bubble3D val="false"/>
            <c:spPr>
              <a:solidFill>
                <a:schemeClr val="accent1">
                  <a:lumMod val="60000"/>
                </a:schemeClr>
              </a:solidFill>
              <a:ln>
                <a:solidFill>
                  <a:schemeClr val="bg1"/>
                </a:solidFill>
              </a:ln>
              <a:effectLst/>
            </c:spPr>
          </c:dPt>
          <c:dPt>
            <c:idx val="7"/>
            <c:bubble3D val="false"/>
            <c:spPr>
              <a:solidFill>
                <a:schemeClr val="accent2">
                  <a:lumMod val="60000"/>
                </a:schemeClr>
              </a:solidFill>
              <a:ln>
                <a:solidFill>
                  <a:schemeClr val="bg1"/>
                </a:solidFill>
              </a:ln>
              <a:effectLst/>
            </c:spPr>
          </c:dPt>
          <c:dPt>
            <c:idx val="8"/>
            <c:bubble3D val="false"/>
            <c:spPr>
              <a:solidFill>
                <a:schemeClr val="accent3">
                  <a:lumMod val="60000"/>
                </a:schemeClr>
              </a:solidFill>
              <a:ln>
                <a:solidFill>
                  <a:schemeClr val="bg1"/>
                </a:solidFill>
              </a:ln>
              <a:effectLst/>
            </c:spPr>
          </c:dPt>
          <c:dPt>
            <c:idx val="9"/>
            <c:bubble3D val="false"/>
            <c:spPr>
              <a:solidFill>
                <a:schemeClr val="accent4">
                  <a:lumMod val="60000"/>
                </a:schemeClr>
              </a:solidFill>
              <a:ln>
                <a:solidFill>
                  <a:schemeClr val="bg1"/>
                </a:solidFill>
              </a:ln>
              <a:effectLst/>
            </c:spPr>
          </c:dPt>
          <c:dLbls>
            <c:dLbl>
              <c:idx val="1"/>
              <c:delete val="true"/>
            </c:dLbl>
            <c:dLbl>
              <c:idx val="2"/>
              <c:delete val="true"/>
            </c:dLbl>
            <c:dLbl>
              <c:idx val="3"/>
              <c:layout/>
              <c:tx>
                <c:rich>
                  <a:bodyPr rot="0" spcFirstLastPara="0" vertOverflow="ellipsis" vert="horz" wrap="square" lIns="38100" tIns="19050" rIns="38100" bIns="19050" anchor="ctr" anchorCtr="true"/>
                  <a:lstStyle/>
                  <a:p>
                    <a:pPr defTabSz="914400">
                      <a:defRPr lang="zh-CN" sz="1000" b="0" i="0" u="none" strike="noStrike" kern="1200" baseline="0">
                        <a:solidFill>
                          <a:schemeClr val="tx1">
                            <a:lumMod val="75000"/>
                            <a:lumOff val="25000"/>
                          </a:schemeClr>
                        </a:solidFill>
                        <a:latin typeface="+mn-lt"/>
                        <a:ea typeface="+mn-ea"/>
                        <a:cs typeface="+mn-cs"/>
                      </a:defRPr>
                    </a:pPr>
                    <a:r>
                      <a:t>8.5</a:t>
                    </a:r>
                    <a:r>
                      <a:rPr lang="en-US" altLang="zh-CN"/>
                      <a:t>0</a:t>
                    </a:r>
                    <a:r>
                      <a:t>%</a:t>
                    </a:r>
                  </a:p>
                </c:rich>
              </c:tx>
              <c:dLblPos val="bestFit"/>
              <c:showLegendKey val="false"/>
              <c:showVal val="true"/>
              <c:showCatName val="false"/>
              <c:showSerName val="false"/>
              <c:showPercent val="false"/>
              <c:showBubbleSize val="false"/>
              <c:extLst>
                <c:ext xmlns:c15="http://schemas.microsoft.com/office/drawing/2012/chart" uri="{CE6537A1-D6FC-4f65-9D91-7224C49458BB}"/>
              </c:extLst>
            </c:dLbl>
            <c:dLbl>
              <c:idx val="4"/>
              <c:layout>
                <c:manualLayout>
                  <c:x val="-0.0356037271043997"/>
                  <c:y val="0.130430944955298"/>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5"/>
              <c:delete val="true"/>
            </c:dLbl>
            <c:dLbl>
              <c:idx val="6"/>
              <c:delete val="true"/>
            </c:dLbl>
            <c:dLbl>
              <c:idx val="7"/>
              <c:layout>
                <c:manualLayout>
                  <c:x val="-0.0641293051903525"/>
                  <c:y val="0.0838545543476183"/>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8"/>
              <c:layout>
                <c:manualLayout>
                  <c:x val="-0.00578461533448437"/>
                  <c:y val="-0.0477209666592703"/>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Sheet1!$A$2:$J$2</c:f>
              <c:strCache>
                <c:ptCount val="10"/>
                <c:pt idx="0">
                  <c:v>一般公共预算拨款收入</c:v>
                </c:pt>
                <c:pt idx="1">
                  <c:v>政府性基金预算拨款收入</c:v>
                </c:pt>
                <c:pt idx="2">
                  <c:v>国有资本经营预算拨款收入</c:v>
                </c:pt>
                <c:pt idx="3">
                  <c:v>财政专户管理资金收入</c:v>
                </c:pt>
                <c:pt idx="4">
                  <c:v>事业收入</c:v>
                </c:pt>
                <c:pt idx="5">
                  <c:v>上级补助收入</c:v>
                </c:pt>
                <c:pt idx="6">
                  <c:v>附属单位上缴收入</c:v>
                </c:pt>
                <c:pt idx="7">
                  <c:v>事业单位经营收入</c:v>
                </c:pt>
                <c:pt idx="8">
                  <c:v>其他收入</c:v>
                </c:pt>
                <c:pt idx="9">
                  <c:v>上年结转结余</c:v>
                </c:pt>
              </c:strCache>
            </c:strRef>
          </c:cat>
          <c:val>
            <c:numRef>
              <c:f>Sheet1!$A$3:$J$3</c:f>
              <c:numCache>
                <c:formatCode>0.000%</c:formatCode>
                <c:ptCount val="10"/>
                <c:pt idx="0">
                  <c:v>0.687251397542275</c:v>
                </c:pt>
                <c:pt idx="1">
                  <c:v>0</c:v>
                </c:pt>
                <c:pt idx="2">
                  <c:v>0</c:v>
                </c:pt>
                <c:pt idx="3">
                  <c:v>0.0850675440029498</c:v>
                </c:pt>
                <c:pt idx="4">
                  <c:v>0.0223214612418186</c:v>
                </c:pt>
                <c:pt idx="5">
                  <c:v>0</c:v>
                </c:pt>
                <c:pt idx="6">
                  <c:v>0</c:v>
                </c:pt>
                <c:pt idx="7">
                  <c:v>7.75948826482687e-5</c:v>
                </c:pt>
                <c:pt idx="8">
                  <c:v>0.0226179727046053</c:v>
                </c:pt>
                <c:pt idx="9">
                  <c:v>0.182664029625703</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r"/>
      <c:legendEntry>
        <c:idx val="1"/>
        <c:delete val="true"/>
      </c:legendEntry>
      <c:legendEntry>
        <c:idx val="2"/>
        <c:delete val="true"/>
      </c:legendEntry>
      <c:legendEntry>
        <c:idx val="5"/>
        <c:delete val="true"/>
      </c:legendEntry>
      <c:legendEntry>
        <c:idx val="6"/>
        <c:delete val="true"/>
      </c:legendEntry>
      <c:layout>
        <c:manualLayout>
          <c:xMode val="edge"/>
          <c:yMode val="edge"/>
          <c:x val="0.684641492904638"/>
          <c:y val="0.243306417339567"/>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spPr/>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Sheet1!$A$1:$B$1</c:f>
              <c:strCache>
                <c:ptCount val="2"/>
                <c:pt idx="0">
                  <c:v>基本支出</c:v>
                </c:pt>
                <c:pt idx="1">
                  <c:v>项目支出</c:v>
                </c:pt>
              </c:strCache>
            </c:strRef>
          </c:cat>
          <c:val>
            <c:numRef>
              <c:f>Sheet1!$A$2:$B$2</c:f>
              <c:numCache>
                <c:formatCode>0%</c:formatCode>
                <c:ptCount val="2"/>
                <c:pt idx="0">
                  <c:v>0.887870177047089</c:v>
                </c:pt>
                <c:pt idx="1">
                  <c:v>0.112129822952911</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fals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2309</Words>
  <Characters>2720</Characters>
  <Lines>20</Lines>
  <Paragraphs>5</Paragraphs>
  <TotalTime>16</TotalTime>
  <ScaleCrop>false</ScaleCrop>
  <LinksUpToDate>false</LinksUpToDate>
  <CharactersWithSpaces>2750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2025-02-18T11:51:00Z</dcterms:created>
  <dc:creator>101493</dc:creator>
  <cp:lastModifiedBy>18500299229</cp:lastModifiedBy>
  <cp:lastPrinted>2025-03-04T14:25:00Z</cp:lastPrinted>
  <dcterms:modified xsi:type="dcterms:W3CDTF">2025-03-05T16:41:51Z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43869607A3F44E829F969A7B35A2B872_11</vt:lpwstr>
  </property>
</Properties>
</file>