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rPr>
          <w:rFonts w:ascii="仿宋_GB2312" w:hAnsi="Times New Roman" w:eastAsia="仿宋_GB2312" w:cs="Droid Sans"/>
          <w:b w:val="0"/>
          <w:bCs w:val="0"/>
          <w:color w:val="1F3864"/>
          <w:kern w:val="2"/>
          <w:sz w:val="24"/>
          <w:szCs w:val="24"/>
        </w:rPr>
      </w:pPr>
    </w:p>
    <w:p>
      <w:pPr>
        <w:spacing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北京市学校基建后勤管理事务中心</w:t>
      </w:r>
    </w:p>
    <w:p>
      <w:pPr>
        <w:spacing w:line="560" w:lineRule="exact"/>
        <w:jc w:val="center"/>
        <w:rPr>
          <w:rFonts w:ascii="方正小标宋简体" w:eastAsia="方正小标宋简体"/>
          <w:color w:val="000000"/>
          <w:sz w:val="44"/>
          <w:szCs w:val="44"/>
        </w:rPr>
      </w:pPr>
      <w:bookmarkStart w:id="0" w:name="_GoBack"/>
      <w:bookmarkEnd w:id="0"/>
      <w:r>
        <w:rPr>
          <w:rFonts w:hint="eastAsia" w:ascii="方正小标宋简体" w:eastAsia="方正小标宋简体"/>
          <w:color w:val="000000"/>
          <w:sz w:val="44"/>
          <w:szCs w:val="44"/>
        </w:rPr>
        <w:t>2024年度单位预算信息公开</w:t>
      </w:r>
    </w:p>
    <w:p>
      <w:pPr>
        <w:spacing w:line="240" w:lineRule="exact"/>
        <w:jc w:val="center"/>
        <w:rPr>
          <w:rFonts w:ascii="方正小标宋简体" w:eastAsia="方正小标宋简体"/>
          <w:color w:val="000000"/>
          <w:sz w:val="32"/>
          <w:szCs w:val="32"/>
        </w:rPr>
      </w:pPr>
    </w:p>
    <w:p>
      <w:pPr>
        <w:pStyle w:val="2"/>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pStyle w:val="2"/>
        <w:rPr>
          <w:rFonts w:ascii="仿宋_GB2312" w:hAnsi="仿宋_GB2312" w:eastAsia="仿宋_GB2312" w:cs="仿宋_GB2312"/>
          <w:color w:val="000000"/>
          <w:szCs w:val="36"/>
        </w:rPr>
      </w:pPr>
    </w:p>
    <w:p>
      <w:pPr>
        <w:rPr>
          <w:rFonts w:ascii="仿宋_GB2312" w:hAnsi="仿宋_GB2312" w:eastAsia="仿宋_GB2312" w:cs="仿宋_GB2312"/>
          <w:color w:val="000000"/>
          <w:sz w:val="36"/>
          <w:szCs w:val="36"/>
        </w:rPr>
      </w:pPr>
    </w:p>
    <w:p>
      <w:pPr>
        <w:pStyle w:val="2"/>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ascii="黑体" w:eastAsia="黑体"/>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北京市学校基建后勤管理事务中心为公益一类事业单位，主要职责为承担本市学校基建管理、后勤管理、设备管理等事务性工作。包括新建改建扩建、基础设施改造、土地房屋监管、校园安全管理、后勤保障管理、节能减排、教育设备管理等方面事务性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北京市学校基建后勤管理事务中心内设六个机构，分别为：办公室、基建一科、基建二科、安全科、后勤科、综合科。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北京市学校基建后勤管理事务中心行政编制0人，实际0人；事业编制40人，实际35人。离退休人员18人，其中：离休0人，退休18人。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1F3864"/>
          <w:sz w:val="24"/>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2024年度收入预算26278.75万元，比2023年年初预算数25317.76万元增加960.99万元，增长3.80%。主要原因是根据事业发展需要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（一）本年财政拨款收入26278.75万元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1.一般公共预算拨款收入26278.75万元。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10.上年结转结余0万元。</w:t>
      </w:r>
    </w:p>
    <w:p>
      <w:pPr>
        <w:pStyle w:val="2"/>
        <w:jc w:val="center"/>
      </w:pPr>
      <w:r>
        <w:drawing>
          <wp:inline distT="0" distB="0" distL="114300" distR="114300">
            <wp:extent cx="4826000" cy="3051810"/>
            <wp:effectExtent l="4445" t="4445" r="8255" b="10795"/>
            <wp:docPr id="11" name="图表 10" descr="7b0a202020202263686172745265734964223a202232303437353538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highlight w:val="yellow"/>
        </w:rPr>
      </w:pPr>
      <w:r>
        <w:rPr>
          <w:rFonts w:hint="eastAsia" w:ascii="仿宋_GB2312" w:eastAsia="仿宋_GB2312"/>
          <w:sz w:val="32"/>
        </w:rPr>
        <w:t>图1：收入预算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color w:val="1F3864"/>
          <w:sz w:val="24"/>
        </w:rPr>
      </w:pPr>
      <w:r>
        <w:rPr>
          <w:rFonts w:hint="eastAsia" w:ascii="黑体" w:eastAsia="黑体"/>
          <w:sz w:val="32"/>
          <w:szCs w:val="32"/>
        </w:rPr>
        <w:t>三、支出预算情况说明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2024年支出预算26278.75万元，比2023年年初预算数25317.76万元增加960.99万元，增长3.80%。主要原因是根据事业发展需要</w:t>
      </w:r>
      <w:r>
        <w:rPr>
          <w:rFonts w:hint="eastAsia" w:ascii="仿宋_GB2312" w:eastAsia="仿宋_GB2312"/>
          <w:sz w:val="32"/>
          <w:szCs w:val="32"/>
          <w:lang w:eastAsia="zh-CN"/>
        </w:rPr>
        <w:t>增加</w:t>
      </w:r>
      <w:r>
        <w:rPr>
          <w:rFonts w:hint="eastAsia" w:ascii="仿宋_GB2312" w:eastAsia="仿宋_GB2312"/>
          <w:sz w:val="32"/>
          <w:szCs w:val="32"/>
        </w:rPr>
        <w:t>预算安排。</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基本支出预算1707.23万元，占总支出预算6.50%，比2023年年初预算数1433.10万元增加274.13万元，增长19.13%。</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项目支出预算24571.52万元，比2023年年初预算数23884.66万元增加686.86万元，增长2.88%。其中：</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1.事业单位经营支出0万元。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2.上缴上级支出0万元。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3.对附属单位补助支出0万元。</w:t>
      </w:r>
    </w:p>
    <w:p>
      <w:pPr>
        <w:pStyle w:val="2"/>
        <w:ind w:firstLine="642"/>
        <w:jc w:val="center"/>
      </w:pPr>
      <w:r>
        <w:drawing>
          <wp:inline distT="0" distB="0" distL="114300" distR="114300">
            <wp:extent cx="4826000" cy="2743200"/>
            <wp:effectExtent l="4445" t="4445" r="8255" b="33655"/>
            <wp:docPr id="12" name="图表 11" descr="7b0a202020202263686172745265734964223a202232303437363132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北京市学校基建后勤管理事务中心因公出国（境）费用、公务接待费、公务用车购置和运行维护费开支单位包括1个所属单位。其他所属单位2024年无财政拨款安排的“三公”经费预算。</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2024年财政拨款“三公”经费预算20.48万元，比2023年财政拨款“三公”经费预算增加16.19万元。其中：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1.因公出国（境）费用。2024年预算数0万元，与2023年持平。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2.公务接待费。2024年预算数0万元，比2023年年初预算数1.79万元减少1.79万元，主要原因：落实政府“过紧日子”要求，进一步压减一般性支出。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3.公务用车购置和运行维护费。2024年预算数20.48万元，包括：公务用车购置费2024年预算数17.98万元，比2023年年初预算数0万元增加17.98万元，主要原因：根据事业发展规划，新增公车购置1辆；公务用车运行维护费2024年预算数2.50万元，其中：公务用车燃油1.33万元，公务用车维修0.42万元，公务用车保险0.42万元，其他支出0.33万元。公务用车运行维护费2024年预算数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2024年北京市学校基建后勤管理事务中心政府采购预算总额1300.11万元，其中：政府采购货物预算977.98万元，政府采购工程预算0万元，政府采购服务预算322.13万元。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本单位2024年无政府购买服务预算。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2024年，北京市学校基建后勤管理事务中心填报绩效目标的预算项目14个，占本单位本年预算项目14个的100%。填报绩效目标的项目支出预算24571.52万元，占本单位本年项目支出预算的100%。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本单位2024年无重点行政事业性收费</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截至2023年底，北京市学校基建后勤管理事务中心共有车辆1台，共计16.98万元；单位价值50万元以上的设备0台</w:t>
      </w:r>
      <w:r>
        <w:rPr>
          <w:rFonts w:hint="eastAsia" w:ascii="仿宋_GB2312" w:eastAsia="仿宋_GB2312"/>
          <w:sz w:val="32"/>
          <w:szCs w:val="32"/>
        </w:rPr>
        <w:t>（套）</w:t>
      </w:r>
      <w:r>
        <w:rPr>
          <w:rFonts w:hint="eastAsia" w:ascii="仿宋_GB2312" w:eastAsia="仿宋_GB2312"/>
          <w:color w:val="000000"/>
          <w:sz w:val="32"/>
          <w:szCs w:val="32"/>
        </w:rPr>
        <w:t>，共计0万元。2024年预算安排中，购置单位价值50万元以上的设备0台（套），共计0万元。</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附件：北京市学校基建后勤管理事务中心2024年度单位预算报表</w:t>
      </w:r>
      <w:r>
        <w:rPr>
          <w:rFonts w:hint="eastAsia" w:ascii="仿宋_GB2312" w:eastAsia="仿宋_GB2312" w:cs="宋体"/>
          <w:color w:val="000000"/>
          <w:kern w:val="0"/>
          <w:sz w:val="32"/>
          <w:szCs w:val="32"/>
          <w:lang w:val="zh-CN"/>
        </w:rPr>
        <w:t xml:space="preserve"> </w:t>
      </w:r>
    </w:p>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2x+XC6gBAABCAwAADgAAAAAAAAABACAAAAA0AQAAZHJzL2Uyb0RvYy54bWxQSwUGAAAA&#10;AAYABgBZAQAAT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C74FD"/>
    <w:multiLevelType w:val="singleLevel"/>
    <w:tmpl w:val="802C74FD"/>
    <w:lvl w:ilvl="0" w:tentative="0">
      <w:start w:val="2"/>
      <w:numFmt w:val="chineseCounting"/>
      <w:suff w:val="nothing"/>
      <w:lvlText w:val="（%1）"/>
      <w:lvlJc w:val="left"/>
      <w:rPr>
        <w:rFonts w:hint="eastAsia"/>
      </w:rPr>
    </w:lvl>
  </w:abstractNum>
  <w:abstractNum w:abstractNumId="1">
    <w:nsid w:val="956372EA"/>
    <w:multiLevelType w:val="singleLevel"/>
    <w:tmpl w:val="956372EA"/>
    <w:lvl w:ilvl="0" w:tentative="0">
      <w:start w:val="6"/>
      <w:numFmt w:val="chineseCounting"/>
      <w:suff w:val="nothing"/>
      <w:lvlText w:val="%1、"/>
      <w:lvlJc w:val="left"/>
      <w:rPr>
        <w:rFonts w:hint="eastAsia"/>
      </w:rPr>
    </w:lvl>
  </w:abstractNum>
  <w:abstractNum w:abstractNumId="2">
    <w:nsid w:val="FF2E9D19"/>
    <w:multiLevelType w:val="singleLevel"/>
    <w:tmpl w:val="FF2E9D19"/>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00797F79"/>
    <w:rsid w:val="00054D3A"/>
    <w:rsid w:val="000B36F0"/>
    <w:rsid w:val="001E0067"/>
    <w:rsid w:val="0032325C"/>
    <w:rsid w:val="003B30CC"/>
    <w:rsid w:val="004A4AD1"/>
    <w:rsid w:val="006D5291"/>
    <w:rsid w:val="006F3CD8"/>
    <w:rsid w:val="00755A2F"/>
    <w:rsid w:val="00797F79"/>
    <w:rsid w:val="00851800"/>
    <w:rsid w:val="008A2E8D"/>
    <w:rsid w:val="00973574"/>
    <w:rsid w:val="009F505C"/>
    <w:rsid w:val="009F6ECC"/>
    <w:rsid w:val="00A52335"/>
    <w:rsid w:val="00B042E3"/>
    <w:rsid w:val="00C71435"/>
    <w:rsid w:val="00D7459F"/>
    <w:rsid w:val="00D9043E"/>
    <w:rsid w:val="00E51413"/>
    <w:rsid w:val="00F212FB"/>
    <w:rsid w:val="00FA25D1"/>
    <w:rsid w:val="01DE318D"/>
    <w:rsid w:val="057C6F3C"/>
    <w:rsid w:val="0845265C"/>
    <w:rsid w:val="0EFFF08B"/>
    <w:rsid w:val="1556FFE7"/>
    <w:rsid w:val="1B143739"/>
    <w:rsid w:val="1E2F585A"/>
    <w:rsid w:val="1FB9016F"/>
    <w:rsid w:val="1FE6D21C"/>
    <w:rsid w:val="23735A5C"/>
    <w:rsid w:val="28B0223E"/>
    <w:rsid w:val="2F7EA178"/>
    <w:rsid w:val="2FF31CCC"/>
    <w:rsid w:val="33BF5DDC"/>
    <w:rsid w:val="37BFBFEE"/>
    <w:rsid w:val="37FD2E23"/>
    <w:rsid w:val="37FF18B9"/>
    <w:rsid w:val="3AC71643"/>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97A134E"/>
    <w:rsid w:val="4CD68066"/>
    <w:rsid w:val="4E67CE40"/>
    <w:rsid w:val="4F6D150F"/>
    <w:rsid w:val="4FEE37C7"/>
    <w:rsid w:val="517E78AA"/>
    <w:rsid w:val="53DF3E7F"/>
    <w:rsid w:val="545DF6FA"/>
    <w:rsid w:val="55DE48F6"/>
    <w:rsid w:val="57ADBE82"/>
    <w:rsid w:val="57E332DD"/>
    <w:rsid w:val="57E9CD93"/>
    <w:rsid w:val="57EB425A"/>
    <w:rsid w:val="596AEB91"/>
    <w:rsid w:val="59D7A30C"/>
    <w:rsid w:val="5A47519D"/>
    <w:rsid w:val="5BEE7D82"/>
    <w:rsid w:val="5BFC36A8"/>
    <w:rsid w:val="5F5F35ED"/>
    <w:rsid w:val="5FB4B9F0"/>
    <w:rsid w:val="5FD532B6"/>
    <w:rsid w:val="5FD56614"/>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70478B"/>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15FBF02"/>
    <w:rsid w:val="B39883F1"/>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ED3C9"/>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C:\Users\05125\Documents\WeChat%20Files\wxid_if221nbrs0t122\FileStorage\File\2024-03\&#22522;&#24314;&#20013;&#24515;&#38382;&#39064;&#3492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Users\05125\Documents\WeChat%20Files\wxid_if221nbrs0t122\FileStorage\File\2024-03\&#22522;&#24314;&#20013;&#24515;&#38382;&#39064;&#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spc="0" baseline="0">
                <a:solidFill>
                  <a:schemeClr val="tx1"/>
                </a:solidFill>
                <a:latin typeface="宋体" panose="02010600030101010101" charset="-122"/>
                <a:ea typeface="宋体" panose="02010600030101010101" charset="-122"/>
                <a:cs typeface="宋体" panose="02010600030101010101" charset="-122"/>
                <a:sym typeface="宋体" panose="02010600030101010101" charset="-122"/>
              </a:defRPr>
            </a:pPr>
            <a:r>
              <a:rPr lang="zh-CN" altLang="en-US">
                <a:latin typeface="宋体" panose="02010600030101010101" charset="-122"/>
                <a:ea typeface="宋体" panose="02010600030101010101" charset="-122"/>
                <a:cs typeface="宋体" panose="02010600030101010101" charset="-122"/>
                <a:sym typeface="宋体" panose="02010600030101010101" charset="-122"/>
              </a:rPr>
              <a:t>收入预算</a:t>
            </a:r>
            <a:endParaRPr lang="zh-CN" altLang="en-US">
              <a:latin typeface="宋体" panose="02010600030101010101" charset="-122"/>
              <a:ea typeface="宋体" panose="02010600030101010101" charset="-122"/>
              <a:cs typeface="宋体" panose="02010600030101010101" charset="-122"/>
              <a:sym typeface="宋体" panose="02010600030101010101" charset="-122"/>
            </a:endParaRPr>
          </a:p>
          <a:p>
            <a:pPr defTabSz="914400">
              <a:defRPr lang="zh-CN" sz="1400" b="0" i="0" u="none" strike="noStrike" kern="1200" spc="0" baseline="0">
                <a:solidFill>
                  <a:schemeClr val="tx1"/>
                </a:solidFill>
                <a:latin typeface="宋体" panose="02010600030101010101" charset="-122"/>
                <a:ea typeface="宋体" panose="02010600030101010101" charset="-122"/>
                <a:cs typeface="宋体" panose="02010600030101010101" charset="-122"/>
                <a:sym typeface="宋体" panose="02010600030101010101" charset="-122"/>
              </a:defRPr>
            </a:pPr>
            <a:endParaRPr lang="zh-CN" altLang="en-US">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413947368421053"/>
          <c:y val="0.0224719101123595"/>
        </c:manualLayout>
      </c:layout>
      <c:overlay val="false"/>
      <c:spPr>
        <a:noFill/>
        <a:ln>
          <a:noFill/>
        </a:ln>
        <a:effectLst/>
      </c:spPr>
    </c:title>
    <c:autoTitleDeleted val="false"/>
    <c:plotArea>
      <c:layout/>
      <c:pieChart>
        <c:varyColors val="true"/>
        <c:ser>
          <c:idx val="0"/>
          <c:order val="0"/>
          <c:tx>
            <c:strRef>
              <c:f>"收入"</c:f>
              <c:strCache>
                <c:ptCount val="1"/>
                <c:pt idx="0">
                  <c:v>收入</c:v>
                </c:pt>
              </c:strCache>
            </c:strRef>
          </c:tx>
          <c:spPr>
            <a:ln w="15875">
              <a:solidFill>
                <a:schemeClr val="bg1"/>
              </a:solidFill>
            </a:ln>
            <a:effectLst>
              <a:outerShdw blurRad="63500" sx="102000" sy="102000" algn="ctr" rotWithShape="0">
                <a:schemeClr val="bg1">
                  <a:lumMod val="50000"/>
                  <a:alpha val="40000"/>
                </a:schemeClr>
              </a:outerShdw>
            </a:effectLst>
            <a:sp3d contourW="15875"/>
          </c:spPr>
          <c:explosion val="0"/>
          <c:dPt>
            <c:idx val="0"/>
            <c:bubble3D val="false"/>
            <c:spPr>
              <a:solidFill>
                <a:schemeClr val="accent1"/>
              </a:solidFill>
              <a:ln w="15875">
                <a:solidFill>
                  <a:schemeClr val="bg1"/>
                </a:solidFill>
              </a:ln>
              <a:effectLst>
                <a:outerShdw blurRad="63500" sx="102000" sy="102000" algn="ctr" rotWithShape="0">
                  <a:schemeClr val="bg1">
                    <a:lumMod val="50000"/>
                    <a:alpha val="40000"/>
                  </a:schemeClr>
                </a:outerShdw>
              </a:effectLst>
              <a:sp3d contourW="15875"/>
            </c:spPr>
          </c:dPt>
          <c:dLbls>
            <c:dLbl>
              <c:idx val="0"/>
              <c:layout/>
              <c:numFmt formatCode="General" sourceLinked="true"/>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bg1"/>
                      </a:solidFill>
                      <a:effectLst>
                        <a:outerShdw blurRad="50800" dist="38100" dir="2700000" algn="tl" rotWithShape="0">
                          <a:schemeClr val="accent1">
                            <a:lumMod val="50000"/>
                            <a:alpha val="70000"/>
                          </a:schemeClr>
                        </a:outerShdw>
                      </a:effectLst>
                      <a:latin typeface="宋体" panose="02010600030101010101" charset="-122"/>
                      <a:ea typeface="宋体" panose="02010600030101010101" charset="-122"/>
                      <a:cs typeface="宋体" panose="02010600030101010101" charset="-122"/>
                      <a:sym typeface="宋体" panose="02010600030101010101" charset="-122"/>
                    </a:defRPr>
                  </a:pPr>
                </a:p>
              </c:txPr>
              <c:dLblPos val="inEnd"/>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forceAA="false"/>
              <a:lstStyle/>
              <a:p>
                <a:pPr>
                  <a:defRPr lang="zh-CN" sz="900" b="0" i="0" u="none" strike="noStrike" kern="1200" baseline="0">
                    <a:solidFill>
                      <a:schemeClr val="bg1"/>
                    </a:solidFill>
                    <a:effectLst>
                      <a:outerShdw blurRad="50800" dist="38100" dir="2700000" algn="tl" rotWithShape="0">
                        <a:prstClr val="black">
                          <a:alpha val="40000"/>
                        </a:prstClr>
                      </a:outerShdw>
                    </a:effectLst>
                    <a:latin typeface="宋体" panose="02010600030101010101" charset="-122"/>
                    <a:ea typeface="宋体" panose="02010600030101010101" charset="-122"/>
                    <a:cs typeface="宋体" panose="02010600030101010101" charset="-122"/>
                    <a:sym typeface="宋体" panose="02010600030101010101" charset="-122"/>
                  </a:defRPr>
                </a:pPr>
              </a:p>
            </c:txPr>
            <c:dLblPos val="inEnd"/>
            <c:showLegendKey val="false"/>
            <c:showVal val="false"/>
            <c:showCatName val="fals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[基建中心问题表.xlsx]Sheet2!$A$5</c:f>
              <c:strCache>
                <c:ptCount val="1"/>
                <c:pt idx="0">
                  <c:v>一般公共预算拨款收入</c:v>
                </c:pt>
              </c:strCache>
            </c:strRef>
          </c:cat>
          <c:val>
            <c:numRef>
              <c:f>[基建中心问题表.xlsx]Sheet2!$B$5</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egendEntry>
        <c:idx val="0"/>
        <c:txPr>
          <a:bodyPr rot="0" spcFirstLastPara="0" vertOverflow="ellipsis" vert="horz" wrap="square" anchor="ctr" anchorCtr="true"/>
          <a:lstStyle/>
          <a:p>
            <a:pPr>
              <a:defRPr lang="zh-CN" sz="900" b="0" i="0" u="none" strike="noStrike" kern="1200" baseline="0">
                <a:solidFill>
                  <a:schemeClr val="tx1">
                    <a:lumMod val="50000"/>
                    <a:lumOff val="50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manualLayout>
          <c:xMode val="edge"/>
          <c:yMode val="edge"/>
          <c:x val="0.674473684210526"/>
          <c:y val="0.517020391177694"/>
          <c:w val="0.299210526315789"/>
          <c:h val="0.0641203703703704"/>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50000"/>
                  <a:lumOff val="50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true"/>
    <c:dispBlanksAs val="gap"/>
    <c:showDLblsOverMax val="false"/>
  </c:chart>
  <c:spPr>
    <a:solidFill>
      <a:schemeClr val="bg1"/>
    </a:solidFill>
    <a:ln w="9525" cap="flat" cmpd="sng" algn="ctr">
      <a:solidFill>
        <a:schemeClr val="bg1">
          <a:lumMod val="85000"/>
        </a:schemeClr>
      </a:solidFill>
      <a:round/>
    </a:ln>
    <a:effectLst/>
  </c:spPr>
  <c:txPr>
    <a:bodyPr/>
    <a:lstStyle/>
    <a:p>
      <a:pPr>
        <a:defRPr lang="zh-CN">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true"/>
    <c:plotArea>
      <c:layout/>
      <c:pieChart>
        <c:varyColors val="true"/>
        <c:ser>
          <c:idx val="0"/>
          <c:order val="0"/>
          <c:spPr>
            <a:solidFill>
              <a:srgbClr val="4874CB"/>
            </a:solidFill>
            <a:ln w="19050">
              <a:noFill/>
            </a:ln>
          </c:spPr>
          <c:explosion val="0"/>
          <c:dPt>
            <c:idx val="0"/>
            <c:bubble3D val="false"/>
            <c:spPr>
              <a:solidFill>
                <a:srgbClr val="E54C5E"/>
              </a:solidFill>
              <a:ln w="57150" cmpd="sng">
                <a:noFill/>
                <a:prstDash val="solid"/>
              </a:ln>
              <a:effectLst>
                <a:outerShdw blurRad="63500" sx="102000" sy="102000" algn="ctr" rotWithShape="0">
                  <a:prstClr val="black">
                    <a:alpha val="25000"/>
                  </a:prstClr>
                </a:outerShdw>
              </a:effectLst>
              <a:sp3d contourW="57150"/>
            </c:spPr>
          </c:dPt>
          <c:dPt>
            <c:idx val="1"/>
            <c:bubble3D val="false"/>
            <c:spPr>
              <a:solidFill>
                <a:srgbClr val="4874CB"/>
              </a:solidFill>
              <a:ln w="76200">
                <a:noFill/>
              </a:ln>
              <a:effectLst>
                <a:outerShdw blurRad="63500" sx="102000" sy="102000" algn="ctr" rotWithShape="0">
                  <a:prstClr val="black">
                    <a:alpha val="25000"/>
                  </a:prstClr>
                </a:outerShdw>
              </a:effectLst>
              <a:sp3d contourW="76200"/>
            </c:spPr>
          </c:dPt>
          <c:dLbls>
            <c:dLbl>
              <c:idx val="0"/>
              <c:layout>
                <c:manualLayout>
                  <c:x val="-0.0149823307208707"/>
                  <c:y val="0.0944647028003693"/>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bg1"/>
                        </a:solidFill>
                        <a:latin typeface="宋体" panose="02010600030101010101" charset="-122"/>
                        <a:ea typeface="宋体" panose="02010600030101010101" charset="-122"/>
                        <a:cs typeface="宋体" panose="02010600030101010101" charset="-122"/>
                        <a:sym typeface="宋体" panose="02010600030101010101" charset="-122"/>
                      </a:defRPr>
                    </a:pPr>
                    <a:r>
                      <a:rPr lang="en-US" altLang="zh-CN" sz="1000">
                        <a:latin typeface="宋体" panose="02010600030101010101" charset="-122"/>
                        <a:ea typeface="宋体" panose="02010600030101010101" charset="-122"/>
                        <a:cs typeface="宋体" panose="02010600030101010101" charset="-122"/>
                        <a:sym typeface="宋体" panose="02010600030101010101" charset="-122"/>
                      </a:rPr>
                      <a:t>6.50%</a:t>
                    </a:r>
                    <a:endParaRPr lang="en-US" altLang="zh-CN" sz="1000">
                      <a:latin typeface="宋体" panose="02010600030101010101" charset="-122"/>
                      <a:ea typeface="宋体" panose="02010600030101010101" charset="-122"/>
                      <a:cs typeface="宋体" panose="02010600030101010101" charset="-122"/>
                      <a:sym typeface="宋体" panose="02010600030101010101" charset="-122"/>
                    </a:endParaRP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bg1"/>
                        </a:solidFill>
                        <a:latin typeface="宋体" panose="02010600030101010101" charset="-122"/>
                        <a:ea typeface="宋体" panose="02010600030101010101" charset="-122"/>
                        <a:cs typeface="宋体" panose="02010600030101010101" charset="-122"/>
                        <a:sym typeface="宋体" panose="02010600030101010101" charset="-122"/>
                      </a:defRPr>
                    </a:pPr>
                    <a:r>
                      <a:rPr lang="en-US" altLang="zh-CN" sz="1000">
                        <a:latin typeface="宋体" panose="02010600030101010101" charset="-122"/>
                        <a:ea typeface="宋体" panose="02010600030101010101" charset="-122"/>
                        <a:cs typeface="宋体" panose="02010600030101010101" charset="-122"/>
                        <a:sym typeface="宋体" panose="02010600030101010101" charset="-122"/>
                      </a:rPr>
                      <a:t>93.50%</a:t>
                    </a:r>
                    <a:endParaRPr lang="en-US" altLang="zh-CN" sz="1000">
                      <a:latin typeface="宋体" panose="02010600030101010101" charset="-122"/>
                      <a:ea typeface="宋体" panose="02010600030101010101" charset="-122"/>
                      <a:cs typeface="宋体" panose="02010600030101010101" charset="-122"/>
                      <a:sym typeface="宋体" panose="02010600030101010101" charset="-122"/>
                    </a:endParaRP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bg1"/>
                    </a:solidFill>
                    <a:latin typeface="宋体" panose="02010600030101010101" charset="-122"/>
                    <a:ea typeface="宋体" panose="02010600030101010101" charset="-122"/>
                    <a:cs typeface="宋体" panose="02010600030101010101" charset="-122"/>
                    <a:sym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[基建中心问题表.xlsx]Sheet2!$A$7:$A$8</c:f>
              <c:strCache>
                <c:ptCount val="2"/>
                <c:pt idx="0">
                  <c:v>基本支出</c:v>
                </c:pt>
                <c:pt idx="1">
                  <c:v>项目支出</c:v>
                </c:pt>
              </c:strCache>
            </c:strRef>
          </c:cat>
          <c:val>
            <c:numRef>
              <c:f>[基建中心问题表.xlsx]Sheet2!$B$7:$B$8</c:f>
              <c:numCache>
                <c:formatCode>0.00%</c:formatCode>
                <c:ptCount val="2"/>
                <c:pt idx="0">
                  <c:v>0.065</c:v>
                </c:pt>
                <c:pt idx="1">
                  <c:v>0.935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overlay val="false"/>
      <c:spPr>
        <a:noFill/>
        <a:ln>
          <a:noFill/>
        </a:ln>
        <a:effectLst/>
      </c:spPr>
      <c:txPr>
        <a:bodyPr rot="0" spcFirstLastPara="0" vertOverflow="ellipsis" vert="horz" wrap="square" anchor="ctr" anchorCtr="true" forceAA="false"/>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sz="1000">
          <a:latin typeface="宋体" panose="02010600030101010101" charset="-122"/>
          <a:ea typeface="宋体" panose="02010600030101010101" charset="-122"/>
          <a:cs typeface="宋体" panose="02010600030101010101" charset="-122"/>
          <a:sym typeface="宋体" panose="02010600030101010101" charset="-122"/>
        </a:defRPr>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自定义 2">
    <a:dk1>
      <a:srgbClr val="000000"/>
    </a:dk1>
    <a:lt1>
      <a:srgbClr val="FFFFFF"/>
    </a:lt1>
    <a:dk2>
      <a:srgbClr val="0C0E1F"/>
    </a:dk2>
    <a:lt2>
      <a:srgbClr val="FEFFFF"/>
    </a:lt2>
    <a:accent1>
      <a:srgbClr val="4F81FF"/>
    </a:accent1>
    <a:accent2>
      <a:srgbClr val="16CC8A"/>
    </a:accent2>
    <a:accent3>
      <a:srgbClr val="83D8FF"/>
    </a:accent3>
    <a:accent4>
      <a:srgbClr val="646BFE"/>
    </a:accent4>
    <a:accent5>
      <a:srgbClr val="F64699"/>
    </a:accent5>
    <a:accent6>
      <a:srgbClr val="FFC619"/>
    </a:accent6>
    <a:hlink>
      <a:srgbClr val="304FFE"/>
    </a:hlink>
    <a:folHlink>
      <a:srgbClr val="492067"/>
    </a:folHlink>
  </a:clrScheme>
  <a:fontScheme name="自定义 2">
    <a:majorFont>
      <a:latin typeface="微软雅黑"/>
      <a:ea typeface="微软雅黑"/>
      <a:cs typeface=""/>
    </a:majorFont>
    <a:minorFont>
      <a:latin typeface="微软雅黑"/>
      <a:ea typeface="微软雅黑"/>
      <a:cs typeface=""/>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0001">
    <a:dk1>
      <a:srgbClr val="000000"/>
    </a:dk1>
    <a:lt1>
      <a:srgbClr val="FFFFFF"/>
    </a:lt1>
    <a:dk2>
      <a:srgbClr val="04617B"/>
    </a:dk2>
    <a:lt2>
      <a:srgbClr val="FFFFFF"/>
    </a:lt2>
    <a:accent1>
      <a:srgbClr val="344CFE"/>
    </a:accent1>
    <a:accent2>
      <a:srgbClr val="058CF5"/>
    </a:accent2>
    <a:accent3>
      <a:srgbClr val="1CC6C8"/>
    </a:accent3>
    <a:accent4>
      <a:srgbClr val="05C03A"/>
    </a:accent4>
    <a:accent5>
      <a:srgbClr val="96CE1E"/>
    </a:accent5>
    <a:accent6>
      <a:srgbClr val="F2B600"/>
    </a:accent6>
    <a:hlink>
      <a:srgbClr val="F49100"/>
    </a:hlink>
    <a:folHlink>
      <a:srgbClr val="85DFD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383</Words>
  <Characters>2185</Characters>
  <Lines>18</Lines>
  <Paragraphs>5</Paragraphs>
  <TotalTime>55</TotalTime>
  <ScaleCrop>false</ScaleCrop>
  <LinksUpToDate>false</LinksUpToDate>
  <CharactersWithSpaces>2563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2024-03-05T07:49:00Z</dcterms:created>
  <dc:creator>马荣丽</dc:creator>
  <cp:lastModifiedBy>18500299229</cp:lastModifiedBy>
  <cp:lastPrinted>2024-03-05T08:19:00Z</cp:lastPrinted>
  <dcterms:modified xsi:type="dcterms:W3CDTF">2024-03-11T16:44:44Z</dcterms:modified>
  <dc:title>处领导：</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D2BD6F5BEA434CD786FB4A9A5754177C_13</vt:lpwstr>
  </property>
</Properties>
</file>