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北京市少年宫（北京市青少年科技馆、北京教学植物园）2024年度单位预算信息公开</w:t>
      </w:r>
    </w:p>
    <w:p>
      <w:pPr>
        <w:spacing w:line="560" w:lineRule="exact"/>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56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autoSpaceDE w:val="0"/>
        <w:autoSpaceDN w:val="0"/>
        <w:adjustRightInd w:val="0"/>
        <w:spacing w:line="360" w:lineRule="auto"/>
        <w:ind w:firstLine="640" w:firstLineChars="200"/>
        <w:jc w:val="left"/>
        <w:rPr>
          <w:rFonts w:ascii="仿宋_GB2312" w:hAnsi="仿宋_GB2312" w:eastAsia="仿宋_GB2312" w:cs="仿宋_GB2312"/>
          <w:color w:val="000000"/>
          <w:kern w:val="0"/>
          <w:sz w:val="32"/>
          <w:szCs w:val="32"/>
        </w:rPr>
      </w:pPr>
    </w:p>
    <w:p>
      <w:pPr>
        <w:spacing w:line="360" w:lineRule="auto"/>
        <w:jc w:val="center"/>
        <w:rPr>
          <w:rFonts w:ascii="方正小标宋简体" w:eastAsia="方正小标宋简体"/>
          <w:color w:val="000000"/>
          <w:sz w:val="32"/>
          <w:szCs w:val="32"/>
        </w:rPr>
      </w:pPr>
      <w:r>
        <w:rPr>
          <w:rFonts w:ascii="仿宋_GB2312" w:eastAsia="仿宋_GB2312"/>
          <w:color w:val="1F3864"/>
          <w:sz w:val="24"/>
        </w:rPr>
        <w:br w:type="page"/>
      </w:r>
      <w:r>
        <w:rPr>
          <w:rFonts w:hint="eastAsia" w:ascii="方正小标宋简体" w:eastAsia="方正小标宋简体"/>
          <w:color w:val="000000"/>
          <w:sz w:val="36"/>
          <w:szCs w:val="36"/>
        </w:rPr>
        <w:t>第一部分  2024年度单位预算情况说明</w:t>
      </w:r>
    </w:p>
    <w:p>
      <w:pPr>
        <w:spacing w:line="360" w:lineRule="auto"/>
        <w:jc w:val="center"/>
        <w:rPr>
          <w:rFonts w:ascii="方正小标宋简体" w:eastAsia="方正小标宋简体"/>
          <w:color w:val="000000"/>
          <w:sz w:val="36"/>
          <w:szCs w:val="36"/>
        </w:rPr>
      </w:pPr>
    </w:p>
    <w:p>
      <w:pPr>
        <w:spacing w:line="360" w:lineRule="auto"/>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ascii="仿宋_GB2312" w:eastAsia="仿宋_GB2312"/>
          <w:color w:val="1F3864"/>
          <w:sz w:val="24"/>
        </w:rPr>
      </w:pPr>
      <w:r>
        <w:rPr>
          <w:rFonts w:hint="eastAsia" w:ascii="仿宋_GB2312" w:eastAsia="仿宋_GB2312"/>
          <w:sz w:val="32"/>
          <w:szCs w:val="32"/>
        </w:rPr>
        <w:t>北京市少年宫（北京市青少年科技馆、北京教学植物园）是公益一类事业单位。主要职责为承担北京地区学生活动组织管理的事务性工作；面向全市未成年人开展校外教育活动；负责本市校外教育的教科研工作；负责本市植物与环境教育实验基地建设，为全市中小学校开展植物科学、综合实践等相关学科教育教学实践活动提供支持；完成市教委交办的其他任务。</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（二）机构设置情况</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北京市少年宫（北京市青少年科技馆、北京教学植物园）内设</w:t>
      </w:r>
      <w:r>
        <w:rPr>
          <w:rFonts w:ascii="仿宋_GB2312" w:eastAsia="仿宋_GB2312"/>
          <w:sz w:val="32"/>
          <w:szCs w:val="32"/>
        </w:rPr>
        <w:t>18</w:t>
      </w:r>
      <w:r>
        <w:rPr>
          <w:rFonts w:hint="eastAsia" w:ascii="仿宋_GB2312" w:eastAsia="仿宋_GB2312"/>
          <w:sz w:val="32"/>
          <w:szCs w:val="32"/>
        </w:rPr>
        <w:t>个机构，分别为：办公室（纪检审计办公室）、人事部（教师工作部）、财务部、保障部、保卫部、信息部（在线教育中心）、教务部（课程研发中心）、艺术教学部、体育教学部、科技教学部、美术教学部、自然教育部、艺术活动部、科技活动部、体育活动部、群众活动部、北京市少年宫校外教育研究室（北京市校外教育研究室秘书部）、北京市少年宫社会大课堂管理办公室（北京市中小学生社会大课堂管理办公室秘书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（三）人员编制及实有情况</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北京市少年宫（北京市青少年科技馆、北京教学植物园）</w:t>
      </w:r>
      <w:r>
        <w:rPr>
          <w:rFonts w:hint="eastAsia" w:ascii="仿宋_GB2312" w:eastAsia="仿宋_GB2312"/>
          <w:color w:val="000000"/>
          <w:sz w:val="32"/>
          <w:szCs w:val="32"/>
        </w:rPr>
        <w:t>行政编制</w:t>
      </w:r>
      <w:r>
        <w:rPr>
          <w:rFonts w:ascii="仿宋_GB2312" w:eastAsia="仿宋_GB2312"/>
          <w:color w:val="000000"/>
          <w:sz w:val="32"/>
          <w:szCs w:val="32"/>
        </w:rPr>
        <w:t>0</w:t>
      </w:r>
      <w:r>
        <w:rPr>
          <w:rFonts w:hint="eastAsia" w:ascii="仿宋_GB2312" w:eastAsia="仿宋_GB2312"/>
          <w:color w:val="000000"/>
          <w:sz w:val="32"/>
          <w:szCs w:val="32"/>
        </w:rPr>
        <w:t>人，</w:t>
      </w:r>
      <w:r>
        <w:rPr>
          <w:rFonts w:hint="eastAsia" w:ascii="仿宋_GB2312" w:eastAsia="仿宋_GB2312"/>
          <w:color w:val="000000"/>
          <w:sz w:val="32"/>
          <w:szCs w:val="32"/>
          <w:lang w:val="en-US" w:eastAsia="zh-CN"/>
        </w:rPr>
        <w:t>实际</w:t>
      </w:r>
      <w:r>
        <w:rPr>
          <w:rFonts w:ascii="仿宋_GB2312" w:eastAsia="仿宋_GB2312"/>
          <w:color w:val="000000"/>
          <w:sz w:val="32"/>
          <w:szCs w:val="32"/>
        </w:rPr>
        <w:t>0</w:t>
      </w:r>
      <w:r>
        <w:rPr>
          <w:rFonts w:hint="eastAsia" w:ascii="仿宋_GB2312" w:eastAsia="仿宋_GB2312"/>
          <w:color w:val="000000"/>
          <w:sz w:val="32"/>
          <w:szCs w:val="32"/>
        </w:rPr>
        <w:t>人；事业编制</w:t>
      </w:r>
      <w:r>
        <w:rPr>
          <w:rFonts w:ascii="仿宋_GB2312" w:eastAsia="仿宋_GB2312"/>
          <w:color w:val="000000"/>
          <w:sz w:val="32"/>
          <w:szCs w:val="32"/>
        </w:rPr>
        <w:t>232</w:t>
      </w:r>
      <w:r>
        <w:rPr>
          <w:rFonts w:hint="eastAsia" w:ascii="仿宋_GB2312" w:eastAsia="仿宋_GB2312"/>
          <w:color w:val="000000"/>
          <w:sz w:val="32"/>
          <w:szCs w:val="32"/>
        </w:rPr>
        <w:t>人，</w:t>
      </w:r>
      <w:r>
        <w:rPr>
          <w:rFonts w:hint="eastAsia" w:ascii="仿宋_GB2312" w:eastAsia="仿宋_GB2312"/>
          <w:color w:val="000000"/>
          <w:sz w:val="32"/>
          <w:szCs w:val="32"/>
          <w:lang w:val="en-US" w:eastAsia="zh-CN"/>
        </w:rPr>
        <w:t>实际</w:t>
      </w:r>
      <w:r>
        <w:rPr>
          <w:rFonts w:ascii="仿宋_GB2312" w:eastAsia="仿宋_GB2312"/>
          <w:color w:val="000000"/>
          <w:sz w:val="32"/>
          <w:szCs w:val="32"/>
        </w:rPr>
        <w:t>193</w:t>
      </w:r>
      <w:r>
        <w:rPr>
          <w:rFonts w:hint="eastAsia" w:ascii="仿宋_GB2312" w:eastAsia="仿宋_GB2312"/>
          <w:color w:val="000000"/>
          <w:sz w:val="32"/>
          <w:szCs w:val="32"/>
        </w:rPr>
        <w:t>人；聘用人员（其他聘用人员--临时工）</w:t>
      </w:r>
      <w:r>
        <w:rPr>
          <w:rFonts w:ascii="仿宋_GB2312" w:eastAsia="仿宋_GB2312"/>
          <w:color w:val="000000"/>
          <w:sz w:val="32"/>
          <w:szCs w:val="32"/>
        </w:rPr>
        <w:t>3</w:t>
      </w:r>
      <w:r>
        <w:rPr>
          <w:rFonts w:hint="eastAsia" w:ascii="仿宋_GB2312" w:eastAsia="仿宋_GB2312"/>
          <w:color w:val="000000"/>
          <w:sz w:val="32"/>
          <w:szCs w:val="32"/>
        </w:rPr>
        <w:t>人。离退休人员</w:t>
      </w:r>
      <w:r>
        <w:rPr>
          <w:rFonts w:ascii="仿宋_GB2312" w:eastAsia="仿宋_GB2312"/>
          <w:color w:val="000000"/>
          <w:sz w:val="32"/>
          <w:szCs w:val="32"/>
        </w:rPr>
        <w:t>170</w:t>
      </w:r>
      <w:r>
        <w:rPr>
          <w:rFonts w:hint="eastAsia" w:ascii="仿宋_GB2312" w:eastAsia="仿宋_GB2312"/>
          <w:color w:val="000000"/>
          <w:sz w:val="32"/>
          <w:szCs w:val="32"/>
        </w:rPr>
        <w:t>人，其中：离休</w:t>
      </w:r>
      <w:r>
        <w:rPr>
          <w:rFonts w:ascii="仿宋_GB2312" w:eastAsia="仿宋_GB2312"/>
          <w:color w:val="000000"/>
          <w:sz w:val="32"/>
          <w:szCs w:val="32"/>
        </w:rPr>
        <w:t>2</w:t>
      </w:r>
      <w:r>
        <w:rPr>
          <w:rFonts w:hint="eastAsia" w:ascii="仿宋_GB2312" w:eastAsia="仿宋_GB2312"/>
          <w:color w:val="000000"/>
          <w:sz w:val="32"/>
          <w:szCs w:val="32"/>
        </w:rPr>
        <w:t>人，退休</w:t>
      </w:r>
      <w:r>
        <w:rPr>
          <w:rFonts w:ascii="仿宋_GB2312" w:eastAsia="仿宋_GB2312"/>
          <w:color w:val="000000"/>
          <w:sz w:val="32"/>
          <w:szCs w:val="32"/>
        </w:rPr>
        <w:t>168</w:t>
      </w:r>
      <w:r>
        <w:rPr>
          <w:rFonts w:hint="eastAsia" w:ascii="仿宋_GB2312" w:eastAsia="仿宋_GB2312"/>
          <w:color w:val="000000"/>
          <w:sz w:val="32"/>
          <w:szCs w:val="32"/>
        </w:rPr>
        <w:t>人。</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color w:val="1F3864"/>
          <w:sz w:val="24"/>
        </w:rPr>
      </w:pPr>
      <w:r>
        <w:rPr>
          <w:rFonts w:hint="eastAsia" w:ascii="黑体" w:eastAsia="黑体"/>
          <w:color w:val="000000"/>
          <w:sz w:val="32"/>
          <w:szCs w:val="32"/>
        </w:rPr>
        <w:t>二、收入预算情况说明</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2024年度收入预算</w:t>
      </w:r>
      <w:r>
        <w:rPr>
          <w:rFonts w:ascii="仿宋_GB2312" w:eastAsia="仿宋_GB2312"/>
          <w:sz w:val="32"/>
          <w:szCs w:val="32"/>
        </w:rPr>
        <w:t>14518.85</w:t>
      </w:r>
      <w:r>
        <w:rPr>
          <w:rFonts w:hint="eastAsia" w:ascii="仿宋_GB2312" w:eastAsia="仿宋_GB2312"/>
          <w:sz w:val="32"/>
          <w:szCs w:val="32"/>
        </w:rPr>
        <w:t>万元，比2023年年初预算数</w:t>
      </w:r>
      <w:r>
        <w:rPr>
          <w:rFonts w:ascii="仿宋_GB2312" w:eastAsia="仿宋_GB2312"/>
          <w:sz w:val="32"/>
          <w:szCs w:val="32"/>
        </w:rPr>
        <w:t>12679.77</w:t>
      </w:r>
      <w:r>
        <w:rPr>
          <w:rFonts w:hint="eastAsia" w:ascii="仿宋_GB2312" w:eastAsia="仿宋_GB2312"/>
          <w:sz w:val="32"/>
          <w:szCs w:val="32"/>
        </w:rPr>
        <w:t>万元增加</w:t>
      </w:r>
      <w:r>
        <w:rPr>
          <w:rFonts w:ascii="仿宋_GB2312" w:eastAsia="仿宋_GB2312"/>
          <w:sz w:val="32"/>
          <w:szCs w:val="32"/>
        </w:rPr>
        <w:t>1839.08</w:t>
      </w:r>
      <w:r>
        <w:rPr>
          <w:rFonts w:hint="eastAsia" w:ascii="仿宋_GB2312" w:eastAsia="仿宋_GB2312"/>
          <w:sz w:val="32"/>
          <w:szCs w:val="32"/>
        </w:rPr>
        <w:t>万元，增长</w:t>
      </w:r>
      <w:r>
        <w:rPr>
          <w:rFonts w:ascii="仿宋_GB2312" w:eastAsia="仿宋_GB2312"/>
          <w:sz w:val="32"/>
          <w:szCs w:val="32"/>
        </w:rPr>
        <w:t>14.50</w:t>
      </w:r>
      <w:r>
        <w:rPr>
          <w:rFonts w:hint="eastAsia" w:ascii="仿宋_GB2312" w:eastAsia="仿宋_GB2312"/>
          <w:sz w:val="32"/>
          <w:szCs w:val="32"/>
        </w:rPr>
        <w:t>%。主要原因是根据事业发展</w:t>
      </w:r>
      <w:r>
        <w:rPr>
          <w:rFonts w:hint="eastAsia" w:ascii="仿宋_GB2312" w:eastAsia="仿宋_GB2312"/>
          <w:sz w:val="32"/>
          <w:szCs w:val="32"/>
          <w:lang w:eastAsia="zh-CN"/>
        </w:rPr>
        <w:t>规划，</w:t>
      </w:r>
      <w:r>
        <w:rPr>
          <w:rFonts w:hint="eastAsia" w:ascii="仿宋_GB2312" w:eastAsia="仿宋_GB2312"/>
          <w:sz w:val="32"/>
          <w:szCs w:val="32"/>
        </w:rPr>
        <w:t>增加项目</w:t>
      </w:r>
      <w:r>
        <w:rPr>
          <w:rFonts w:hint="eastAsia" w:ascii="仿宋_GB2312" w:eastAsia="仿宋_GB2312"/>
          <w:sz w:val="32"/>
          <w:szCs w:val="32"/>
          <w:lang w:eastAsia="zh-CN"/>
        </w:rPr>
        <w:t>安排</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（一）本年财政</w:t>
      </w:r>
      <w:bookmarkStart w:id="0" w:name="_GoBack"/>
      <w:bookmarkEnd w:id="0"/>
      <w:r>
        <w:rPr>
          <w:rFonts w:hint="eastAsia" w:ascii="楷体_GB2312" w:eastAsia="楷体_GB2312"/>
          <w:sz w:val="32"/>
          <w:szCs w:val="32"/>
        </w:rPr>
        <w:t>拨款收入</w:t>
      </w:r>
      <w:r>
        <w:rPr>
          <w:rFonts w:ascii="楷体_GB2312" w:eastAsia="楷体_GB2312"/>
          <w:sz w:val="32"/>
          <w:szCs w:val="32"/>
        </w:rPr>
        <w:t>11957.72</w:t>
      </w:r>
      <w:r>
        <w:rPr>
          <w:rFonts w:hint="eastAsia" w:ascii="楷体_GB2312" w:eastAsia="楷体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1.一般公共预算拨款收入</w:t>
      </w:r>
      <w:r>
        <w:rPr>
          <w:rFonts w:ascii="仿宋_GB2312" w:eastAsia="仿宋_GB2312"/>
          <w:sz w:val="32"/>
          <w:szCs w:val="32"/>
        </w:rPr>
        <w:t>11957.72</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2.政府性基金预算拨款收入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3.国有资本经营预算拨款收入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（二）本年其他资金收入</w:t>
      </w:r>
      <w:r>
        <w:rPr>
          <w:rFonts w:ascii="楷体_GB2312" w:eastAsia="楷体_GB2312"/>
          <w:sz w:val="32"/>
          <w:szCs w:val="32"/>
        </w:rPr>
        <w:t>2208.00</w:t>
      </w:r>
      <w:r>
        <w:rPr>
          <w:rFonts w:hint="eastAsia" w:ascii="楷体_GB2312" w:eastAsia="楷体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4.财政专户管理资金收入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5.事业收入</w:t>
      </w:r>
      <w:r>
        <w:rPr>
          <w:rFonts w:ascii="仿宋_GB2312" w:eastAsia="仿宋_GB2312"/>
          <w:sz w:val="32"/>
          <w:szCs w:val="32"/>
        </w:rPr>
        <w:t>2200.00</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6.上级补助收入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7.附属单位上缴收入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8.事业单位经营收入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9.其他收入</w:t>
      </w:r>
      <w:r>
        <w:rPr>
          <w:rFonts w:ascii="仿宋_GB2312" w:eastAsia="仿宋_GB2312"/>
          <w:sz w:val="32"/>
          <w:szCs w:val="32"/>
        </w:rPr>
        <w:t>8.00</w:t>
      </w:r>
      <w:r>
        <w:rPr>
          <w:rFonts w:hint="eastAsia" w:ascii="仿宋_GB2312" w:eastAsia="仿宋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（三）上年结转结余</w:t>
      </w:r>
      <w:r>
        <w:rPr>
          <w:rFonts w:ascii="楷体_GB2312" w:eastAsia="楷体_GB2312"/>
          <w:sz w:val="32"/>
          <w:szCs w:val="32"/>
        </w:rPr>
        <w:t>353.13</w:t>
      </w:r>
      <w:r>
        <w:rPr>
          <w:rFonts w:hint="eastAsia" w:ascii="楷体_GB2312" w:eastAsia="楷体_GB2312"/>
          <w:sz w:val="32"/>
          <w:szCs w:val="32"/>
        </w:rPr>
        <w:t>万元</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10.上年结转结余</w:t>
      </w:r>
      <w:r>
        <w:rPr>
          <w:rFonts w:ascii="仿宋_GB2312" w:eastAsia="仿宋_GB2312"/>
          <w:sz w:val="32"/>
          <w:szCs w:val="32"/>
        </w:rPr>
        <w:t>353.13</w:t>
      </w:r>
      <w:r>
        <w:rPr>
          <w:rFonts w:hint="eastAsia" w:ascii="仿宋_GB2312" w:eastAsia="仿宋_GB2312"/>
          <w:sz w:val="32"/>
          <w:szCs w:val="32"/>
        </w:rPr>
        <w:t>万元。</w:t>
      </w:r>
    </w:p>
    <w:p>
      <w:pPr>
        <w:spacing w:line="360" w:lineRule="auto"/>
      </w:pPr>
      <w:r>
        <w:rPr>
          <w:rFonts w:hint="eastAsia" w:eastAsiaTheme="minorEastAsia"/>
          <w:lang w:eastAsia="zh-CN"/>
        </w:rPr>
        <w:drawing>
          <wp:inline distT="0" distB="0" distL="114300" distR="114300">
            <wp:extent cx="5256530" cy="2988310"/>
            <wp:effectExtent l="5080" t="4445" r="8890" b="171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spacing w:line="360" w:lineRule="auto"/>
        <w:jc w:val="center"/>
        <w:rPr>
          <w:rFonts w:ascii="仿宋_GB2312" w:eastAsia="仿宋_GB2312"/>
          <w:b w:val="0"/>
          <w:bCs w:val="0"/>
          <w:sz w:val="32"/>
        </w:rPr>
      </w:pPr>
      <w:r>
        <w:rPr>
          <w:rFonts w:hint="eastAsia" w:ascii="仿宋_GB2312" w:eastAsia="仿宋_GB2312"/>
          <w:sz w:val="32"/>
        </w:rPr>
        <w:t>图1：收入预算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黑体" w:eastAsia="黑体"/>
          <w:sz w:val="32"/>
          <w:szCs w:val="32"/>
        </w:rPr>
        <w:t>三、支出预算情况说明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2024年支出预算</w:t>
      </w:r>
      <w:r>
        <w:rPr>
          <w:rFonts w:ascii="仿宋_GB2312" w:eastAsia="仿宋_GB2312"/>
          <w:sz w:val="32"/>
          <w:szCs w:val="32"/>
        </w:rPr>
        <w:t>14518.85</w:t>
      </w:r>
      <w:r>
        <w:rPr>
          <w:rFonts w:hint="eastAsia" w:ascii="仿宋_GB2312" w:eastAsia="仿宋_GB2312"/>
          <w:sz w:val="32"/>
          <w:szCs w:val="32"/>
        </w:rPr>
        <w:t>万元，比2023年年初预算数</w:t>
      </w:r>
      <w:r>
        <w:rPr>
          <w:rFonts w:ascii="仿宋_GB2312" w:eastAsia="仿宋_GB2312"/>
          <w:sz w:val="32"/>
          <w:szCs w:val="32"/>
        </w:rPr>
        <w:t>12679.77</w:t>
      </w:r>
      <w:r>
        <w:rPr>
          <w:rFonts w:hint="eastAsia" w:ascii="仿宋_GB2312" w:eastAsia="仿宋_GB2312"/>
          <w:sz w:val="32"/>
          <w:szCs w:val="32"/>
        </w:rPr>
        <w:t>万元增加</w:t>
      </w:r>
      <w:r>
        <w:rPr>
          <w:rFonts w:ascii="仿宋_GB2312" w:eastAsia="仿宋_GB2312"/>
          <w:sz w:val="32"/>
          <w:szCs w:val="32"/>
        </w:rPr>
        <w:t>1839.08</w:t>
      </w:r>
      <w:r>
        <w:rPr>
          <w:rFonts w:hint="eastAsia" w:ascii="仿宋_GB2312" w:eastAsia="仿宋_GB2312"/>
          <w:sz w:val="32"/>
          <w:szCs w:val="32"/>
        </w:rPr>
        <w:t>万元，增长</w:t>
      </w:r>
      <w:r>
        <w:rPr>
          <w:rFonts w:ascii="仿宋_GB2312" w:eastAsia="仿宋_GB2312"/>
          <w:sz w:val="32"/>
          <w:szCs w:val="32"/>
        </w:rPr>
        <w:t>14.50</w:t>
      </w:r>
      <w:r>
        <w:rPr>
          <w:rFonts w:hint="eastAsia" w:ascii="仿宋_GB2312" w:eastAsia="仿宋_GB2312"/>
          <w:sz w:val="32"/>
          <w:szCs w:val="32"/>
        </w:rPr>
        <w:t>%。主要原因是根据事业发展</w:t>
      </w:r>
      <w:r>
        <w:rPr>
          <w:rFonts w:hint="eastAsia" w:ascii="仿宋_GB2312" w:eastAsia="仿宋_GB2312"/>
          <w:sz w:val="32"/>
          <w:szCs w:val="32"/>
          <w:lang w:eastAsia="zh-CN"/>
        </w:rPr>
        <w:t>规划，</w:t>
      </w:r>
      <w:r>
        <w:rPr>
          <w:rFonts w:hint="eastAsia" w:ascii="仿宋_GB2312" w:eastAsia="仿宋_GB2312"/>
          <w:sz w:val="32"/>
          <w:szCs w:val="32"/>
        </w:rPr>
        <w:t>增加项目</w:t>
      </w:r>
      <w:r>
        <w:rPr>
          <w:rFonts w:hint="eastAsia" w:ascii="仿宋_GB2312" w:eastAsia="仿宋_GB2312"/>
          <w:sz w:val="32"/>
          <w:szCs w:val="32"/>
          <w:lang w:eastAsia="zh-CN"/>
        </w:rPr>
        <w:t>安排</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color w:val="1F3864"/>
          <w:sz w:val="24"/>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w:t>
      </w:r>
      <w:r>
        <w:rPr>
          <w:rFonts w:ascii="仿宋_GB2312" w:eastAsia="仿宋_GB2312"/>
          <w:sz w:val="32"/>
          <w:szCs w:val="32"/>
        </w:rPr>
        <w:t>8732.72</w:t>
      </w:r>
      <w:r>
        <w:rPr>
          <w:rFonts w:hint="eastAsia" w:ascii="仿宋_GB2312" w:eastAsia="仿宋_GB2312"/>
          <w:sz w:val="32"/>
          <w:szCs w:val="32"/>
        </w:rPr>
        <w:t>万元，占总支出预算</w:t>
      </w:r>
      <w:r>
        <w:rPr>
          <w:rFonts w:ascii="仿宋_GB2312" w:eastAsia="仿宋_GB2312"/>
          <w:sz w:val="32"/>
          <w:szCs w:val="32"/>
        </w:rPr>
        <w:t>60.15</w:t>
      </w:r>
      <w:r>
        <w:rPr>
          <w:rFonts w:hint="eastAsia" w:ascii="仿宋_GB2312" w:eastAsia="仿宋_GB2312"/>
          <w:sz w:val="32"/>
          <w:szCs w:val="32"/>
        </w:rPr>
        <w:t>%，比2023年年初预算数9038.68万元减少</w:t>
      </w:r>
      <w:r>
        <w:rPr>
          <w:rFonts w:ascii="仿宋_GB2312" w:eastAsia="仿宋_GB2312"/>
          <w:sz w:val="32"/>
          <w:szCs w:val="32"/>
        </w:rPr>
        <w:t>305.96</w:t>
      </w:r>
      <w:r>
        <w:rPr>
          <w:rFonts w:hint="eastAsia" w:ascii="仿宋_GB2312" w:eastAsia="仿宋_GB2312"/>
          <w:sz w:val="32"/>
          <w:szCs w:val="32"/>
        </w:rPr>
        <w:t>万元，下降3</w:t>
      </w:r>
      <w:r>
        <w:rPr>
          <w:rFonts w:ascii="仿宋_GB2312" w:eastAsia="仿宋_GB2312"/>
          <w:sz w:val="32"/>
          <w:szCs w:val="32"/>
        </w:rPr>
        <w:t>.39</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w:t>
      </w:r>
      <w:r>
        <w:rPr>
          <w:rFonts w:ascii="仿宋_GB2312" w:eastAsia="仿宋_GB2312"/>
          <w:sz w:val="32"/>
          <w:szCs w:val="32"/>
        </w:rPr>
        <w:t>5786.13</w:t>
      </w:r>
      <w:r>
        <w:rPr>
          <w:rFonts w:hint="eastAsia" w:ascii="仿宋_GB2312" w:eastAsia="仿宋_GB2312"/>
          <w:sz w:val="32"/>
          <w:szCs w:val="32"/>
        </w:rPr>
        <w:t>万元，比2023年年初预算数</w:t>
      </w:r>
      <w:r>
        <w:rPr>
          <w:rFonts w:ascii="仿宋_GB2312" w:eastAsia="仿宋_GB2312"/>
          <w:sz w:val="32"/>
          <w:szCs w:val="32"/>
        </w:rPr>
        <w:t>3641.09</w:t>
      </w:r>
      <w:r>
        <w:rPr>
          <w:rFonts w:hint="eastAsia" w:ascii="仿宋_GB2312" w:eastAsia="仿宋_GB2312"/>
          <w:sz w:val="32"/>
          <w:szCs w:val="32"/>
        </w:rPr>
        <w:t>万元增加</w:t>
      </w:r>
      <w:r>
        <w:rPr>
          <w:rFonts w:ascii="仿宋_GB2312" w:eastAsia="仿宋_GB2312"/>
          <w:sz w:val="32"/>
          <w:szCs w:val="32"/>
        </w:rPr>
        <w:t>2145.04</w:t>
      </w:r>
      <w:r>
        <w:rPr>
          <w:rFonts w:hint="eastAsia" w:ascii="仿宋_GB2312" w:eastAsia="仿宋_GB2312"/>
          <w:sz w:val="32"/>
          <w:szCs w:val="32"/>
        </w:rPr>
        <w:t>万元，增长</w:t>
      </w:r>
      <w:r>
        <w:rPr>
          <w:rFonts w:ascii="仿宋_GB2312" w:eastAsia="仿宋_GB2312"/>
          <w:sz w:val="32"/>
          <w:szCs w:val="32"/>
        </w:rPr>
        <w:t>58.91</w:t>
      </w:r>
      <w:r>
        <w:rPr>
          <w:rFonts w:hint="eastAsia" w:ascii="仿宋_GB2312"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1.事业单位经营支出</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2.上缴上级支出</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3.对附属单位补助支出</w:t>
      </w:r>
      <w:r>
        <w:rPr>
          <w:rFonts w:ascii="仿宋_GB2312" w:eastAsia="仿宋_GB2312"/>
          <w:sz w:val="32"/>
          <w:szCs w:val="32"/>
        </w:rPr>
        <w:t>0</w:t>
      </w:r>
      <w:r>
        <w:rPr>
          <w:rFonts w:hint="eastAsia" w:ascii="仿宋_GB2312" w:eastAsia="仿宋_GB2312"/>
          <w:sz w:val="32"/>
          <w:szCs w:val="32"/>
        </w:rPr>
        <w:t>万元。</w:t>
      </w:r>
    </w:p>
    <w:p>
      <w:pPr>
        <w:spacing w:line="360" w:lineRule="auto"/>
      </w:pPr>
      <w:r>
        <w:rPr>
          <w:rFonts w:hint="eastAsia"/>
        </w:rPr>
        <w:drawing>
          <wp:inline distT="0" distB="0" distL="0" distR="0">
            <wp:extent cx="5274310" cy="3076575"/>
            <wp:effectExtent l="0" t="0" r="254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spacing w:line="360" w:lineRule="auto"/>
        <w:ind w:firstLine="642"/>
        <w:jc w:val="center"/>
      </w:pPr>
      <w:r>
        <w:rPr>
          <w:rFonts w:hint="eastAsia" w:ascii="仿宋_GB2312" w:eastAsia="仿宋_GB2312"/>
          <w:sz w:val="32"/>
        </w:rPr>
        <w:t>图2：基本支出和项目支出情况</w:t>
      </w:r>
    </w:p>
    <w:p>
      <w:pPr>
        <w:keepNext w:val="0"/>
        <w:keepLines w:val="0"/>
        <w:pageBreakBefore w:val="0"/>
        <w:widowControl w:val="0"/>
        <w:numPr>
          <w:ilvl w:val="0"/>
          <w:numId w:val="1"/>
        </w:numPr>
        <w:kinsoku/>
        <w:wordWrap/>
        <w:overflowPunct/>
        <w:topLinePunct w:val="0"/>
        <w:bidi w:val="0"/>
        <w:snapToGrid/>
        <w:spacing w:line="560" w:lineRule="exact"/>
        <w:ind w:left="-10" w:leftChars="0" w:firstLine="640" w:firstLineChars="0"/>
        <w:textAlignment w:val="auto"/>
        <w:rPr>
          <w:rFonts w:ascii="楷体_GB2312" w:hAnsi="楷体_GB2312" w:eastAsia="楷体_GB2312" w:cs="楷体_GB2312"/>
          <w:color w:val="000000"/>
          <w:sz w:val="32"/>
          <w:szCs w:val="32"/>
          <w:highlight w:val="none"/>
        </w:rPr>
      </w:pPr>
      <w:r>
        <w:rPr>
          <w:rFonts w:hint="eastAsia" w:ascii="楷体_GB2312" w:hAnsi="楷体_GB2312" w:eastAsia="楷体_GB2312" w:cs="楷体_GB2312"/>
          <w:color w:val="000000"/>
          <w:sz w:val="32"/>
          <w:szCs w:val="32"/>
          <w:highlight w:val="none"/>
        </w:rPr>
        <w:t>年终结转结余资金</w:t>
      </w:r>
      <w:r>
        <w:rPr>
          <w:rFonts w:hint="eastAsia" w:ascii="楷体_GB2312" w:hAnsi="楷体_GB2312" w:eastAsia="楷体_GB2312" w:cs="楷体_GB2312"/>
          <w:color w:val="000000"/>
          <w:sz w:val="32"/>
          <w:szCs w:val="32"/>
          <w:highlight w:val="none"/>
          <w:lang w:val="en-US" w:eastAsia="zh-CN"/>
        </w:rPr>
        <w:t>0</w:t>
      </w:r>
      <w:r>
        <w:rPr>
          <w:rFonts w:hint="eastAsia" w:ascii="楷体_GB2312" w:hAnsi="楷体_GB2312" w:eastAsia="楷体_GB2312" w:cs="楷体_GB2312"/>
          <w:color w:val="000000"/>
          <w:sz w:val="32"/>
          <w:szCs w:val="32"/>
          <w:highlight w:val="none"/>
        </w:rPr>
        <w:t>万元</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eastAsia="黑体"/>
          <w:sz w:val="32"/>
          <w:szCs w:val="32"/>
        </w:rPr>
      </w:pPr>
      <w:r>
        <w:rPr>
          <w:rFonts w:hint="eastAsia" w:ascii="黑体" w:eastAsia="黑体"/>
          <w:sz w:val="32"/>
          <w:szCs w:val="32"/>
        </w:rPr>
        <w:t>四、财政拨款“三公”经费预算情况说明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（一）“三公”经费的单位范围</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北京市少年宫（北京市青少年科技馆、北京教学植物园）因公出国（境）费用、公务接待费、公务用车购置和运行维护费开支单位包括</w:t>
      </w:r>
      <w:r>
        <w:rPr>
          <w:rFonts w:ascii="仿宋_GB2312" w:eastAsia="仿宋_GB2312"/>
          <w:sz w:val="32"/>
          <w:szCs w:val="32"/>
        </w:rPr>
        <w:t>1</w:t>
      </w:r>
      <w:r>
        <w:rPr>
          <w:rFonts w:hint="eastAsia" w:ascii="仿宋_GB2312" w:eastAsia="仿宋_GB2312"/>
          <w:sz w:val="32"/>
          <w:szCs w:val="32"/>
        </w:rPr>
        <w:t>个所属单位。其他所属单位2024年无财政拨款安排的“三公”经费预算。</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（二）财政拨款“三公”经费预算情况说明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2024年财政拨款“三公”经费预算</w:t>
      </w:r>
      <w:r>
        <w:rPr>
          <w:rFonts w:ascii="仿宋_GB2312" w:eastAsia="仿宋_GB2312"/>
          <w:sz w:val="32"/>
          <w:szCs w:val="32"/>
        </w:rPr>
        <w:t>1.95</w:t>
      </w:r>
      <w:r>
        <w:rPr>
          <w:rFonts w:hint="eastAsia" w:ascii="仿宋_GB2312" w:eastAsia="仿宋_GB2312"/>
          <w:sz w:val="32"/>
          <w:szCs w:val="32"/>
        </w:rPr>
        <w:t>万元，比2023年财政拨款“三公”经费预算减少</w:t>
      </w:r>
      <w:r>
        <w:rPr>
          <w:rFonts w:ascii="仿宋_GB2312" w:eastAsia="仿宋_GB2312"/>
          <w:sz w:val="32"/>
          <w:szCs w:val="32"/>
        </w:rPr>
        <w:t>0.10</w:t>
      </w:r>
      <w:r>
        <w:rPr>
          <w:rFonts w:hint="eastAsia" w:ascii="仿宋_GB2312" w:eastAsia="仿宋_GB2312"/>
          <w:sz w:val="32"/>
          <w:szCs w:val="32"/>
        </w:rPr>
        <w:t>万元。其中：</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1.因公出国（境）费用。202</w:t>
      </w:r>
      <w:r>
        <w:rPr>
          <w:rFonts w:ascii="仿宋_GB2312" w:eastAsia="仿宋_GB2312"/>
          <w:sz w:val="32"/>
          <w:szCs w:val="32"/>
        </w:rPr>
        <w:t>4</w:t>
      </w:r>
      <w:r>
        <w:rPr>
          <w:rFonts w:hint="eastAsia" w:ascii="仿宋_GB2312" w:eastAsia="仿宋_GB2312"/>
          <w:sz w:val="32"/>
          <w:szCs w:val="32"/>
        </w:rPr>
        <w:t>年预算数0万元，与202</w:t>
      </w:r>
      <w:r>
        <w:rPr>
          <w:rFonts w:ascii="仿宋_GB2312" w:eastAsia="仿宋_GB2312"/>
          <w:sz w:val="32"/>
          <w:szCs w:val="32"/>
        </w:rPr>
        <w:t>3</w:t>
      </w:r>
      <w:r>
        <w:rPr>
          <w:rFonts w:hint="eastAsia" w:ascii="仿宋_GB2312" w:eastAsia="仿宋_GB2312"/>
          <w:sz w:val="32"/>
          <w:szCs w:val="32"/>
        </w:rPr>
        <w:t>年持平。</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2.公务接待费。2024年预算数</w:t>
      </w:r>
      <w:r>
        <w:rPr>
          <w:rFonts w:ascii="仿宋_GB2312" w:eastAsia="仿宋_GB2312"/>
          <w:sz w:val="32"/>
          <w:szCs w:val="32"/>
        </w:rPr>
        <w:t>0.40</w:t>
      </w:r>
      <w:r>
        <w:rPr>
          <w:rFonts w:hint="eastAsia" w:ascii="仿宋_GB2312" w:eastAsia="仿宋_GB2312"/>
          <w:sz w:val="32"/>
          <w:szCs w:val="32"/>
        </w:rPr>
        <w:t>万元，比2023年年初预算数</w:t>
      </w:r>
      <w:r>
        <w:rPr>
          <w:rFonts w:ascii="仿宋_GB2312" w:eastAsia="仿宋_GB2312"/>
          <w:sz w:val="32"/>
          <w:szCs w:val="32"/>
        </w:rPr>
        <w:t>0.50</w:t>
      </w:r>
      <w:r>
        <w:rPr>
          <w:rFonts w:hint="eastAsia" w:ascii="仿宋_GB2312" w:eastAsia="仿宋_GB2312"/>
          <w:sz w:val="32"/>
          <w:szCs w:val="32"/>
        </w:rPr>
        <w:t>万元减少0</w:t>
      </w:r>
      <w:r>
        <w:rPr>
          <w:rFonts w:ascii="仿宋_GB2312" w:eastAsia="仿宋_GB2312"/>
          <w:sz w:val="32"/>
          <w:szCs w:val="32"/>
        </w:rPr>
        <w:t>.10</w:t>
      </w:r>
      <w:r>
        <w:rPr>
          <w:rFonts w:hint="eastAsia" w:ascii="仿宋_GB2312" w:eastAsia="仿宋_GB2312"/>
          <w:sz w:val="32"/>
          <w:szCs w:val="32"/>
        </w:rPr>
        <w:t>万元，主要原因：落实政府“过紧日子”要求，进一步压减一般性支出。</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3.公务用车购置和运行维护费。2024年预算数</w:t>
      </w:r>
      <w:r>
        <w:rPr>
          <w:rFonts w:ascii="仿宋_GB2312" w:eastAsia="仿宋_GB2312"/>
          <w:sz w:val="32"/>
          <w:szCs w:val="32"/>
        </w:rPr>
        <w:t>1.55</w:t>
      </w:r>
      <w:r>
        <w:rPr>
          <w:rFonts w:hint="eastAsia" w:ascii="仿宋_GB2312" w:eastAsia="仿宋_GB2312"/>
          <w:sz w:val="32"/>
          <w:szCs w:val="32"/>
        </w:rPr>
        <w:t>万元，包括：公务用车购置费2024年预算数</w:t>
      </w:r>
      <w:r>
        <w:rPr>
          <w:rFonts w:ascii="仿宋_GB2312" w:eastAsia="仿宋_GB2312"/>
          <w:sz w:val="32"/>
          <w:szCs w:val="32"/>
        </w:rPr>
        <w:t>0</w:t>
      </w:r>
      <w:r>
        <w:rPr>
          <w:rFonts w:hint="eastAsia" w:ascii="仿宋_GB2312" w:eastAsia="仿宋_GB2312"/>
          <w:sz w:val="32"/>
          <w:szCs w:val="32"/>
        </w:rPr>
        <w:t>万元，与202</w:t>
      </w:r>
      <w:r>
        <w:rPr>
          <w:rFonts w:ascii="仿宋_GB2312" w:eastAsia="仿宋_GB2312"/>
          <w:sz w:val="32"/>
          <w:szCs w:val="32"/>
        </w:rPr>
        <w:t>3</w:t>
      </w:r>
      <w:r>
        <w:rPr>
          <w:rFonts w:hint="eastAsia" w:ascii="仿宋_GB2312" w:eastAsia="仿宋_GB2312"/>
          <w:sz w:val="32"/>
          <w:szCs w:val="32"/>
        </w:rPr>
        <w:t>年持平；公务用车运行维护费2024年预算数</w:t>
      </w:r>
      <w:r>
        <w:rPr>
          <w:rFonts w:ascii="仿宋_GB2312" w:eastAsia="仿宋_GB2312"/>
          <w:sz w:val="32"/>
          <w:szCs w:val="32"/>
        </w:rPr>
        <w:t>1.55</w:t>
      </w:r>
      <w:r>
        <w:rPr>
          <w:rFonts w:hint="eastAsia" w:ascii="仿宋_GB2312" w:eastAsia="仿宋_GB2312"/>
          <w:sz w:val="32"/>
          <w:szCs w:val="32"/>
        </w:rPr>
        <w:t>万元，其中：公务用车燃油</w:t>
      </w:r>
      <w:r>
        <w:rPr>
          <w:rFonts w:ascii="仿宋_GB2312" w:eastAsia="仿宋_GB2312"/>
          <w:sz w:val="32"/>
          <w:szCs w:val="32"/>
        </w:rPr>
        <w:t>0.60</w:t>
      </w:r>
      <w:r>
        <w:rPr>
          <w:rFonts w:hint="eastAsia" w:ascii="仿宋_GB2312" w:eastAsia="仿宋_GB2312"/>
          <w:sz w:val="32"/>
          <w:szCs w:val="32"/>
        </w:rPr>
        <w:t>万元，公务用车维修</w:t>
      </w:r>
      <w:r>
        <w:rPr>
          <w:rFonts w:ascii="仿宋_GB2312" w:eastAsia="仿宋_GB2312"/>
          <w:sz w:val="32"/>
          <w:szCs w:val="32"/>
        </w:rPr>
        <w:t>0.20</w:t>
      </w:r>
      <w:r>
        <w:rPr>
          <w:rFonts w:hint="eastAsia" w:ascii="仿宋_GB2312" w:eastAsia="仿宋_GB2312"/>
          <w:sz w:val="32"/>
          <w:szCs w:val="32"/>
        </w:rPr>
        <w:t>万元，公务用车保险</w:t>
      </w:r>
      <w:r>
        <w:rPr>
          <w:rFonts w:ascii="仿宋_GB2312" w:eastAsia="仿宋_GB2312"/>
          <w:sz w:val="32"/>
          <w:szCs w:val="32"/>
        </w:rPr>
        <w:t>0.43</w:t>
      </w:r>
      <w:r>
        <w:rPr>
          <w:rFonts w:hint="eastAsia" w:ascii="仿宋_GB2312" w:eastAsia="仿宋_GB2312"/>
          <w:sz w:val="32"/>
          <w:szCs w:val="32"/>
        </w:rPr>
        <w:t>万元，其他支出</w:t>
      </w:r>
      <w:r>
        <w:rPr>
          <w:rFonts w:ascii="仿宋_GB2312" w:eastAsia="仿宋_GB2312"/>
          <w:sz w:val="32"/>
          <w:szCs w:val="32"/>
        </w:rPr>
        <w:t>0.32</w:t>
      </w:r>
      <w:r>
        <w:rPr>
          <w:rFonts w:hint="eastAsia" w:ascii="仿宋_GB2312" w:eastAsia="仿宋_GB2312"/>
          <w:sz w:val="32"/>
          <w:szCs w:val="32"/>
        </w:rPr>
        <w:t>万元。公务用车运行维护费2024年预算数与2023年持平。</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黑体" w:eastAsia="黑体"/>
          <w:sz w:val="32"/>
          <w:szCs w:val="32"/>
        </w:rPr>
      </w:pPr>
      <w:r>
        <w:rPr>
          <w:rFonts w:hint="eastAsia" w:ascii="黑体" w:eastAsia="黑体"/>
          <w:sz w:val="32"/>
          <w:szCs w:val="32"/>
        </w:rPr>
        <w:t>五、其他情况说明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（一）政府采购预算说明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年北京市少年宫（北京市青少年科技馆、北京教学植物园）政府采购预算总额</w:t>
      </w:r>
      <w:r>
        <w:rPr>
          <w:rFonts w:ascii="仿宋_GB2312" w:eastAsia="仿宋_GB2312"/>
          <w:sz w:val="32"/>
          <w:szCs w:val="32"/>
        </w:rPr>
        <w:t>1739.34</w:t>
      </w:r>
      <w:r>
        <w:rPr>
          <w:rFonts w:hint="eastAsia" w:ascii="仿宋_GB2312" w:eastAsia="仿宋_GB2312"/>
          <w:sz w:val="32"/>
          <w:szCs w:val="32"/>
        </w:rPr>
        <w:t>万元，其中：政府采购货物预算</w:t>
      </w:r>
      <w:r>
        <w:rPr>
          <w:rFonts w:ascii="仿宋_GB2312" w:eastAsia="仿宋_GB2312"/>
          <w:sz w:val="32"/>
          <w:szCs w:val="32"/>
        </w:rPr>
        <w:t>98.67</w:t>
      </w:r>
      <w:r>
        <w:rPr>
          <w:rFonts w:hint="eastAsia" w:ascii="仿宋_GB2312" w:eastAsia="仿宋_GB2312"/>
          <w:sz w:val="32"/>
          <w:szCs w:val="32"/>
        </w:rPr>
        <w:t>万元，政府采购工程预算</w:t>
      </w:r>
      <w:r>
        <w:rPr>
          <w:rFonts w:ascii="仿宋_GB2312" w:eastAsia="仿宋_GB2312"/>
          <w:sz w:val="32"/>
          <w:szCs w:val="32"/>
        </w:rPr>
        <w:t>312.06</w:t>
      </w:r>
      <w:r>
        <w:rPr>
          <w:rFonts w:hint="eastAsia" w:ascii="仿宋_GB2312" w:eastAsia="仿宋_GB2312"/>
          <w:sz w:val="32"/>
          <w:szCs w:val="32"/>
        </w:rPr>
        <w:t>万元，政府采购服务预算</w:t>
      </w:r>
      <w:r>
        <w:rPr>
          <w:rFonts w:ascii="仿宋_GB2312" w:eastAsia="仿宋_GB2312"/>
          <w:sz w:val="32"/>
          <w:szCs w:val="32"/>
        </w:rPr>
        <w:t>1328.61</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（二）政府购买服务预算说明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本单位2024年无政府购买服务预算。</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（三）机关运行经费说明</w:t>
      </w:r>
    </w:p>
    <w:p>
      <w:pPr>
        <w:keepNext w:val="0"/>
        <w:keepLines w:val="0"/>
        <w:pageBreakBefore w:val="0"/>
        <w:widowControl w:val="0"/>
        <w:kinsoku/>
        <w:wordWrap/>
        <w:overflowPunct/>
        <w:topLinePunct w:val="0"/>
        <w:bidi w:val="0"/>
        <w:snapToGrid/>
        <w:spacing w:line="560" w:lineRule="exact"/>
        <w:ind w:firstLine="640" w:firstLineChars="200"/>
        <w:textAlignment w:val="auto"/>
      </w:pPr>
      <w:r>
        <w:rPr>
          <w:rFonts w:hint="eastAsia" w:ascii="仿宋_GB2312" w:eastAsia="仿宋_GB2312"/>
          <w:sz w:val="32"/>
          <w:szCs w:val="32"/>
        </w:rPr>
        <w:t>我单位不在机关运行经费统计范围之内。</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（四）项目支出绩效目标情况说明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1F3864"/>
          <w:sz w:val="24"/>
        </w:rPr>
      </w:pPr>
      <w:r>
        <w:rPr>
          <w:rFonts w:hint="eastAsia" w:ascii="仿宋_GB2312" w:eastAsia="仿宋_GB2312"/>
          <w:sz w:val="32"/>
          <w:szCs w:val="32"/>
        </w:rPr>
        <w:t>2024年，北京市少年宫（北京市青少年科技馆、北京教学植物园）填报绩效目标的预算项目</w:t>
      </w:r>
      <w:r>
        <w:rPr>
          <w:rFonts w:ascii="仿宋_GB2312" w:eastAsia="仿宋_GB2312"/>
          <w:sz w:val="32"/>
          <w:szCs w:val="32"/>
        </w:rPr>
        <w:t>17</w:t>
      </w:r>
      <w:r>
        <w:rPr>
          <w:rFonts w:hint="eastAsia" w:ascii="仿宋_GB2312" w:eastAsia="仿宋_GB2312"/>
          <w:sz w:val="32"/>
          <w:szCs w:val="32"/>
        </w:rPr>
        <w:t>个，占本单位本年预算项目</w:t>
      </w:r>
      <w:r>
        <w:rPr>
          <w:rFonts w:ascii="仿宋_GB2312" w:eastAsia="仿宋_GB2312"/>
          <w:sz w:val="32"/>
          <w:szCs w:val="32"/>
        </w:rPr>
        <w:t>17</w:t>
      </w:r>
      <w:r>
        <w:rPr>
          <w:rFonts w:hint="eastAsia" w:ascii="仿宋_GB2312" w:eastAsia="仿宋_GB2312"/>
          <w:sz w:val="32"/>
          <w:szCs w:val="32"/>
        </w:rPr>
        <w:t>个的</w:t>
      </w:r>
      <w:r>
        <w:rPr>
          <w:rFonts w:ascii="仿宋_GB2312" w:eastAsia="仿宋_GB2312"/>
          <w:sz w:val="32"/>
          <w:szCs w:val="32"/>
        </w:rPr>
        <w:t>100</w:t>
      </w:r>
      <w:r>
        <w:rPr>
          <w:rFonts w:hint="eastAsia" w:ascii="仿宋_GB2312" w:eastAsia="仿宋_GB2312"/>
          <w:sz w:val="32"/>
          <w:szCs w:val="32"/>
        </w:rPr>
        <w:t>%。填报绩效目标的项目支出预算</w:t>
      </w:r>
      <w:r>
        <w:rPr>
          <w:rFonts w:ascii="仿宋_GB2312" w:eastAsia="仿宋_GB2312"/>
          <w:sz w:val="32"/>
          <w:szCs w:val="32"/>
        </w:rPr>
        <w:t>5633.00</w:t>
      </w:r>
      <w:r>
        <w:rPr>
          <w:rFonts w:hint="eastAsia" w:ascii="仿宋_GB2312" w:eastAsia="仿宋_GB2312"/>
          <w:sz w:val="32"/>
          <w:szCs w:val="32"/>
        </w:rPr>
        <w:t>万元，占本单位本年项目支出预算的</w:t>
      </w:r>
      <w:r>
        <w:rPr>
          <w:rFonts w:ascii="仿宋_GB2312" w:eastAsia="仿宋_GB2312"/>
          <w:sz w:val="32"/>
          <w:szCs w:val="32"/>
        </w:rPr>
        <w:t>100</w:t>
      </w:r>
      <w:r>
        <w:rPr>
          <w:rFonts w:hint="eastAsia" w:ascii="仿宋_GB2312" w:eastAsia="仿宋_GB2312"/>
          <w:sz w:val="32"/>
          <w:szCs w:val="32"/>
        </w:rPr>
        <w:t>%</w:t>
      </w:r>
      <w:r>
        <w:rPr>
          <w:rFonts w:hint="eastAsia" w:ascii="楷体_GB2312" w:eastAsia="楷体_GB2312" w:cs="楷体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（五）重点行政事业性收费情况说明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1F3864"/>
          <w:sz w:val="24"/>
        </w:rPr>
      </w:pPr>
      <w:r>
        <w:rPr>
          <w:rFonts w:hint="eastAsia" w:ascii="仿宋_GB2312" w:eastAsia="仿宋_GB2312"/>
          <w:sz w:val="32"/>
          <w:szCs w:val="32"/>
        </w:rPr>
        <w:t>本单位2024年无重点行政事业性收费。</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（六）国有资本经营预算财政拨款情况说明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截至2023年底，</w:t>
      </w:r>
      <w:r>
        <w:rPr>
          <w:rFonts w:hint="eastAsia" w:ascii="仿宋_GB2312" w:eastAsia="仿宋_GB2312"/>
          <w:sz w:val="32"/>
          <w:szCs w:val="32"/>
        </w:rPr>
        <w:t>北京市少年宫（北京市青少年科技馆、北京教学植物园）</w:t>
      </w:r>
      <w:r>
        <w:rPr>
          <w:rFonts w:hint="eastAsia" w:ascii="仿宋_GB2312" w:eastAsia="仿宋_GB2312"/>
          <w:color w:val="000000"/>
          <w:sz w:val="32"/>
          <w:szCs w:val="32"/>
        </w:rPr>
        <w:t>共有车辆</w:t>
      </w:r>
      <w:r>
        <w:rPr>
          <w:rFonts w:ascii="仿宋_GB2312" w:eastAsia="仿宋_GB2312"/>
          <w:color w:val="000000"/>
          <w:sz w:val="32"/>
          <w:szCs w:val="32"/>
        </w:rPr>
        <w:t>1</w:t>
      </w:r>
      <w:r>
        <w:rPr>
          <w:rFonts w:hint="eastAsia" w:ascii="仿宋_GB2312" w:eastAsia="仿宋_GB2312"/>
          <w:color w:val="000000"/>
          <w:sz w:val="32"/>
          <w:szCs w:val="32"/>
        </w:rPr>
        <w:t>台，共计</w:t>
      </w:r>
      <w:r>
        <w:rPr>
          <w:rFonts w:ascii="仿宋_GB2312" w:eastAsia="仿宋_GB2312"/>
          <w:color w:val="000000"/>
          <w:sz w:val="32"/>
          <w:szCs w:val="32"/>
        </w:rPr>
        <w:t>17.90</w:t>
      </w:r>
      <w:r>
        <w:rPr>
          <w:rFonts w:hint="eastAsia" w:ascii="仿宋_GB2312" w:eastAsia="仿宋_GB2312"/>
          <w:color w:val="000000"/>
          <w:sz w:val="32"/>
          <w:szCs w:val="32"/>
        </w:rPr>
        <w:t>万元；单位价值50万元以上的设备</w:t>
      </w:r>
      <w:r>
        <w:rPr>
          <w:rFonts w:ascii="仿宋_GB2312" w:eastAsia="仿宋_GB2312"/>
          <w:color w:val="000000"/>
          <w:sz w:val="32"/>
          <w:szCs w:val="32"/>
        </w:rPr>
        <w:t>21</w:t>
      </w:r>
      <w:r>
        <w:rPr>
          <w:rFonts w:hint="eastAsia" w:ascii="仿宋_GB2312" w:eastAsia="仿宋_GB2312"/>
          <w:color w:val="000000"/>
          <w:sz w:val="32"/>
          <w:szCs w:val="32"/>
        </w:rPr>
        <w:t>台、共计</w:t>
      </w:r>
      <w:r>
        <w:rPr>
          <w:rFonts w:hint="eastAsia" w:ascii="仿宋_GB2312" w:eastAsia="仿宋_GB2312"/>
          <w:color w:val="000000"/>
          <w:sz w:val="32"/>
          <w:szCs w:val="32"/>
          <w:lang w:val="en-US" w:eastAsia="zh-CN"/>
        </w:rPr>
        <w:t>1881.95</w:t>
      </w:r>
      <w:r>
        <w:rPr>
          <w:rFonts w:hint="eastAsia" w:ascii="仿宋_GB2312" w:eastAsia="仿宋_GB2312"/>
          <w:color w:val="000000"/>
          <w:sz w:val="32"/>
          <w:szCs w:val="32"/>
        </w:rPr>
        <w:t>万元。2024年预算安排中，购置单位价值50万元以上的设备</w:t>
      </w:r>
      <w:r>
        <w:rPr>
          <w:rFonts w:ascii="仿宋_GB2312" w:eastAsia="仿宋_GB2312"/>
          <w:color w:val="000000"/>
          <w:sz w:val="32"/>
          <w:szCs w:val="32"/>
        </w:rPr>
        <w:t>2</w:t>
      </w:r>
      <w:r>
        <w:rPr>
          <w:rFonts w:hint="eastAsia" w:ascii="仿宋_GB2312" w:eastAsia="仿宋_GB2312"/>
          <w:color w:val="000000"/>
          <w:sz w:val="32"/>
          <w:szCs w:val="32"/>
        </w:rPr>
        <w:t>套，共计</w:t>
      </w:r>
      <w:r>
        <w:rPr>
          <w:rFonts w:ascii="仿宋_GB2312" w:eastAsia="仿宋_GB2312"/>
          <w:color w:val="000000"/>
          <w:sz w:val="32"/>
          <w:szCs w:val="32"/>
        </w:rPr>
        <w:t>356.33</w:t>
      </w:r>
      <w:r>
        <w:rPr>
          <w:rFonts w:hint="eastAsia" w:ascii="仿宋_GB2312" w:eastAsia="仿宋_GB2312"/>
          <w:color w:val="000000"/>
          <w:sz w:val="32"/>
          <w:szCs w:val="32"/>
        </w:rPr>
        <w:t>万元。</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000000"/>
          <w:spacing w:val="-2"/>
          <w:sz w:val="32"/>
          <w:szCs w:val="32"/>
        </w:rPr>
      </w:pPr>
      <w:r>
        <w:rPr>
          <w:rFonts w:hint="eastAsia" w:ascii="黑体" w:eastAsia="黑体"/>
          <w:color w:val="000000"/>
          <w:sz w:val="32"/>
          <w:szCs w:val="32"/>
        </w:rPr>
        <w:t>六、名词解释</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pStyle w:val="2"/>
        <w:rPr>
          <w:sz w:val="10"/>
          <w:szCs w:val="10"/>
        </w:rPr>
      </w:pPr>
    </w:p>
    <w:p/>
    <w:p>
      <w:pPr>
        <w:keepNext w:val="0"/>
        <w:keepLines w:val="0"/>
        <w:pageBreakBefore w:val="0"/>
        <w:widowControl w:val="0"/>
        <w:kinsoku/>
        <w:wordWrap/>
        <w:overflowPunct/>
        <w:topLinePunct w:val="0"/>
        <w:bidi w:val="0"/>
        <w:snapToGrid/>
        <w:spacing w:line="560" w:lineRule="exact"/>
        <w:jc w:val="center"/>
        <w:textAlignment w:val="auto"/>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keepNext w:val="0"/>
        <w:keepLines w:val="0"/>
        <w:pageBreakBefore w:val="0"/>
        <w:widowControl w:val="0"/>
        <w:kinsoku/>
        <w:wordWrap/>
        <w:overflowPunct/>
        <w:topLinePunct w:val="0"/>
        <w:autoSpaceDE w:val="0"/>
        <w:autoSpaceDN w:val="0"/>
        <w:bidi w:val="0"/>
        <w:adjustRightInd w:val="0"/>
        <w:snapToGrid/>
        <w:spacing w:line="560" w:lineRule="exact"/>
        <w:jc w:val="left"/>
        <w:textAlignment w:val="auto"/>
        <w:rPr>
          <w:rFonts w:ascii="方正小标宋简体" w:eastAsia="方正小标宋简体"/>
          <w:color w:val="000000"/>
          <w:sz w:val="36"/>
          <w:szCs w:val="36"/>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s="宋体"/>
          <w:color w:val="000000"/>
          <w:kern w:val="0"/>
          <w:sz w:val="32"/>
          <w:szCs w:val="32"/>
          <w:lang w:val="zh-CN"/>
        </w:rPr>
      </w:pPr>
      <w:r>
        <w:rPr>
          <w:rFonts w:hint="eastAsia" w:ascii="仿宋_GB2312" w:eastAsia="仿宋_GB2312"/>
          <w:color w:val="000000"/>
          <w:sz w:val="32"/>
          <w:szCs w:val="32"/>
        </w:rPr>
        <w:t>附件：</w:t>
      </w:r>
      <w:r>
        <w:rPr>
          <w:rFonts w:hint="eastAsia" w:ascii="仿宋_GB2312" w:eastAsia="仿宋_GB2312"/>
          <w:sz w:val="32"/>
          <w:szCs w:val="32"/>
        </w:rPr>
        <w:t>北京市少年宫（北京市青少年科技馆、北京教学植物园）</w:t>
      </w:r>
      <w:r>
        <w:rPr>
          <w:rFonts w:hint="eastAsia" w:ascii="仿宋_GB2312" w:eastAsia="仿宋_GB2312"/>
          <w:color w:val="000000"/>
          <w:sz w:val="32"/>
          <w:szCs w:val="32"/>
        </w:rPr>
        <w:t>2024年度单位预算报表</w:t>
      </w:r>
    </w:p>
    <w:p>
      <w:pPr>
        <w:keepNext w:val="0"/>
        <w:keepLines w:val="0"/>
        <w:pageBreakBefore w:val="0"/>
        <w:widowControl w:val="0"/>
        <w:kinsoku/>
        <w:wordWrap/>
        <w:overflowPunct/>
        <w:topLinePunct w:val="0"/>
        <w:bidi w:val="0"/>
        <w:snapToGrid/>
        <w:spacing w:line="560" w:lineRule="exact"/>
        <w:textAlignment w:val="auto"/>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1"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445135" cy="230505"/>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rot="0" vert="horz" wrap="none" lIns="0" tIns="0" rIns="0" bIns="0" anchor="t" anchorCtr="false" upright="true">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JvOISfRAAAAAwEAAA8AAABkcnMvZG93bnJldi54bWxNj8FOwzAQRO9I/IO1&#10;SNyoHSq1VYjTQyUu3CgIids23sYR9jqy3TT5ewwXuKw0mtHM22Y/eycmimkIrKFaKRDEXTAD9xre&#10;354fdiBSRjboApOGhRLs29ubBmsTrvxK0zH3opRwqlGDzXmspUydJY9pFUbi4p1D9JiLjL00Ea+l&#10;3Dv5qNRGehy4LFgc6WCp+zpevIbt/BFoTHSgz/PURTssO/eyaH1/V6knEJnm/BeGH/yCDm1hOoUL&#10;mySchvJI/r3F26oKxEnDerMG2TbyP3v7DVBLAwQUAAAACACHTuJAfAeq4vUBAADBAwAADgAAAGRy&#10;cy9lMm9Eb2MueG1srVPNjtMwEL4j8Q6W7zTp7hahqOlq2VUR0vIjLTzA1HEai8Rjjd0m5QHgDThx&#10;4c5z9TkYO223wA1xscYz42+++WY8vx66Vmw1eYO2lNNJLoW2Citj16X8+GH57IUUPoCtoEWrS7nT&#10;Xl4vnj6Z967QF9hgW2kSDGJ90btSNiG4Isu8anQHfoJOWw7WSB0EvtI6qwh6Ru/a7CLPn2c9UuUI&#10;lfaevXdjUC4Sfl1rFd7VtddBtKVkbiGdlM5VPLPFHIo1gWuMOtCAf2DRgbFc9AR1BwHEhsxfUJ1R&#10;hB7rMFHYZVjXRunUA3czzf/o5qEBp1MvLI53J5n8/4NVb7fvSZiKZyeFhY5HtP/2df/95/7HFzGN&#10;8vTOF5z14DgvDC9xKGWgTaQFhXf3qD55YfG2AbvWN0TYNxoqZpiS+H12BjCi+Qi16t9gxdVgEzBh&#10;DTV1EZM1EVyDh7U7DUgPQSh2Xl3NppczKRSHLi7zWT6LDDMojo8d+fBKYyeiUUri+Sdw2N77MKYe&#10;U2Iti0vTtuyHorW/ORgzehL5yHdkHobVwNmxoxVWO26DcFwp/gJsNEifpeh5nUpped+laF9b1iJu&#10;3tGgo7E6GmAVP2TFpBjN28C3GlrPABtHZt0w9pnoN6zZ0qR+HqkcyPKeJEUOOx0X8fyesh5/3u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m84hJ9EAAAADAQAADwAAAAAAAAABACAAAAA4AAAAZHJz&#10;L2Rvd25yZXYueG1sUEsBAhQAFAAAAAgAh07iQHwHquL1AQAAwQMAAA4AAAAAAAAAAQAgAAAANgEA&#10;AGRycy9lMm9Eb2MueG1sUEsFBgAAAAAGAAYAWQEAAJ0FA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N2YyYjcyOTgxOTNjZWFiMmFlNzE5NWNhZGJiNzgifQ=="/>
    <w:docVar w:name="KSO_WPS_MARK_KEY" w:val="1d258a85-4a2b-42c1-8d6b-f120de6952bf"/>
  </w:docVars>
  <w:rsids>
    <w:rsidRoot w:val="00797F79"/>
    <w:rsid w:val="00002D08"/>
    <w:rsid w:val="00015650"/>
    <w:rsid w:val="000B36F0"/>
    <w:rsid w:val="001E0067"/>
    <w:rsid w:val="001E3D79"/>
    <w:rsid w:val="0026438D"/>
    <w:rsid w:val="0032325C"/>
    <w:rsid w:val="0035315C"/>
    <w:rsid w:val="00360D73"/>
    <w:rsid w:val="003C1222"/>
    <w:rsid w:val="004A4AD1"/>
    <w:rsid w:val="005614D5"/>
    <w:rsid w:val="0064408B"/>
    <w:rsid w:val="00675F69"/>
    <w:rsid w:val="006841CF"/>
    <w:rsid w:val="006D30DE"/>
    <w:rsid w:val="006D5291"/>
    <w:rsid w:val="006F09BE"/>
    <w:rsid w:val="006F3CD8"/>
    <w:rsid w:val="00706724"/>
    <w:rsid w:val="00724432"/>
    <w:rsid w:val="00747087"/>
    <w:rsid w:val="00755A2F"/>
    <w:rsid w:val="0078401C"/>
    <w:rsid w:val="00797F79"/>
    <w:rsid w:val="008360AD"/>
    <w:rsid w:val="008A2E8D"/>
    <w:rsid w:val="00926B30"/>
    <w:rsid w:val="00943482"/>
    <w:rsid w:val="0097273D"/>
    <w:rsid w:val="00973574"/>
    <w:rsid w:val="009A079A"/>
    <w:rsid w:val="009B46E4"/>
    <w:rsid w:val="009B56FF"/>
    <w:rsid w:val="009C64A9"/>
    <w:rsid w:val="009F505C"/>
    <w:rsid w:val="009F6ECC"/>
    <w:rsid w:val="00A53DF6"/>
    <w:rsid w:val="00A66D38"/>
    <w:rsid w:val="00B042E3"/>
    <w:rsid w:val="00B41D61"/>
    <w:rsid w:val="00B617BD"/>
    <w:rsid w:val="00CC1440"/>
    <w:rsid w:val="00D7459F"/>
    <w:rsid w:val="00D81A6C"/>
    <w:rsid w:val="00D969C2"/>
    <w:rsid w:val="00E40702"/>
    <w:rsid w:val="00E51413"/>
    <w:rsid w:val="00E86124"/>
    <w:rsid w:val="00EE5F5B"/>
    <w:rsid w:val="00F212FB"/>
    <w:rsid w:val="00FA25D1"/>
    <w:rsid w:val="00FC2D99"/>
    <w:rsid w:val="01DE318D"/>
    <w:rsid w:val="0EFFF08B"/>
    <w:rsid w:val="1556FFE7"/>
    <w:rsid w:val="1E2F585A"/>
    <w:rsid w:val="1FB9016F"/>
    <w:rsid w:val="1FE6D21C"/>
    <w:rsid w:val="23735A5C"/>
    <w:rsid w:val="2F7EA178"/>
    <w:rsid w:val="2FF31CCC"/>
    <w:rsid w:val="33BF5DDC"/>
    <w:rsid w:val="37BFBFEE"/>
    <w:rsid w:val="37FD2E23"/>
    <w:rsid w:val="37FF18B9"/>
    <w:rsid w:val="3AEE7FDD"/>
    <w:rsid w:val="3B1D5808"/>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8D44964"/>
    <w:rsid w:val="4C277BDB"/>
    <w:rsid w:val="4CD68066"/>
    <w:rsid w:val="4E67CE40"/>
    <w:rsid w:val="4F6D150F"/>
    <w:rsid w:val="4FEE37C7"/>
    <w:rsid w:val="50D0308F"/>
    <w:rsid w:val="517E78AA"/>
    <w:rsid w:val="53DF3E7F"/>
    <w:rsid w:val="545DF6FA"/>
    <w:rsid w:val="55DE48F6"/>
    <w:rsid w:val="57ADBE82"/>
    <w:rsid w:val="57E332DD"/>
    <w:rsid w:val="57E9CD93"/>
    <w:rsid w:val="57EB425A"/>
    <w:rsid w:val="596AEB91"/>
    <w:rsid w:val="59D7A30C"/>
    <w:rsid w:val="5BEE7D82"/>
    <w:rsid w:val="5BFC36A8"/>
    <w:rsid w:val="5C771270"/>
    <w:rsid w:val="5F5F35ED"/>
    <w:rsid w:val="5FB4B9F0"/>
    <w:rsid w:val="5FD532B6"/>
    <w:rsid w:val="5FD56614"/>
    <w:rsid w:val="5FE95128"/>
    <w:rsid w:val="5FFFD6B5"/>
    <w:rsid w:val="67BF653D"/>
    <w:rsid w:val="67FBD21B"/>
    <w:rsid w:val="69CDDFC6"/>
    <w:rsid w:val="6AFBD4E9"/>
    <w:rsid w:val="6BFE087F"/>
    <w:rsid w:val="6BFF83C2"/>
    <w:rsid w:val="6C5F4E7D"/>
    <w:rsid w:val="6D3F2E98"/>
    <w:rsid w:val="6DFE07CC"/>
    <w:rsid w:val="6DFFB2B9"/>
    <w:rsid w:val="6ECB6C3E"/>
    <w:rsid w:val="6F3A9571"/>
    <w:rsid w:val="6FCDA027"/>
    <w:rsid w:val="6FDC8289"/>
    <w:rsid w:val="711E68DF"/>
    <w:rsid w:val="71FF8133"/>
    <w:rsid w:val="729DB731"/>
    <w:rsid w:val="732113D9"/>
    <w:rsid w:val="732F9AB6"/>
    <w:rsid w:val="73A5D6F8"/>
    <w:rsid w:val="74FD455A"/>
    <w:rsid w:val="75D907AF"/>
    <w:rsid w:val="763ED7FC"/>
    <w:rsid w:val="767FBCC8"/>
    <w:rsid w:val="76FE24ED"/>
    <w:rsid w:val="77773C62"/>
    <w:rsid w:val="777F4630"/>
    <w:rsid w:val="77DF7EB6"/>
    <w:rsid w:val="77FABEEF"/>
    <w:rsid w:val="78F52093"/>
    <w:rsid w:val="797F48DA"/>
    <w:rsid w:val="79CFCA19"/>
    <w:rsid w:val="79FD9DB8"/>
    <w:rsid w:val="7AEC944A"/>
    <w:rsid w:val="7B2E7344"/>
    <w:rsid w:val="7B503CA9"/>
    <w:rsid w:val="7B5B4466"/>
    <w:rsid w:val="7B8DB0E0"/>
    <w:rsid w:val="7BD7C5D4"/>
    <w:rsid w:val="7BDE2E6D"/>
    <w:rsid w:val="7BFAEA32"/>
    <w:rsid w:val="7C9BB5BA"/>
    <w:rsid w:val="7D3BD9B4"/>
    <w:rsid w:val="7D629DCE"/>
    <w:rsid w:val="7D7E1C9B"/>
    <w:rsid w:val="7DAF9F6F"/>
    <w:rsid w:val="7DDF7761"/>
    <w:rsid w:val="7DF72F40"/>
    <w:rsid w:val="7DFBA975"/>
    <w:rsid w:val="7E25216C"/>
    <w:rsid w:val="7E7F7957"/>
    <w:rsid w:val="7EBE6155"/>
    <w:rsid w:val="7F3BE6B0"/>
    <w:rsid w:val="7F3F94D5"/>
    <w:rsid w:val="7F3FC408"/>
    <w:rsid w:val="7F3FF262"/>
    <w:rsid w:val="7F7AD461"/>
    <w:rsid w:val="7F9BB94C"/>
    <w:rsid w:val="7FB5D6F6"/>
    <w:rsid w:val="7FCD88E5"/>
    <w:rsid w:val="7FE2A0EF"/>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1113"/>
    <w:rsid w:val="B3FEB972"/>
    <w:rsid w:val="B5DAA59F"/>
    <w:rsid w:val="B6E956E9"/>
    <w:rsid w:val="B6FFE3F9"/>
    <w:rsid w:val="B77D36FD"/>
    <w:rsid w:val="B9C511BB"/>
    <w:rsid w:val="B9E3AE77"/>
    <w:rsid w:val="B9FF9DD8"/>
    <w:rsid w:val="BA8DB816"/>
    <w:rsid w:val="BB7F4D3C"/>
    <w:rsid w:val="BBAFC879"/>
    <w:rsid w:val="BBFDC091"/>
    <w:rsid w:val="BC3FB194"/>
    <w:rsid w:val="BC93032D"/>
    <w:rsid w:val="BCDC4AFD"/>
    <w:rsid w:val="BDFF4B09"/>
    <w:rsid w:val="BEEF0D30"/>
    <w:rsid w:val="BEFF6650"/>
    <w:rsid w:val="BF7B23E6"/>
    <w:rsid w:val="BFBFE194"/>
    <w:rsid w:val="BFCFAEF2"/>
    <w:rsid w:val="BFDD01AC"/>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93D0B"/>
    <w:rsid w:val="EFEF30CE"/>
    <w:rsid w:val="EFFD6B90"/>
    <w:rsid w:val="EFFF9813"/>
    <w:rsid w:val="F279611C"/>
    <w:rsid w:val="F3F77884"/>
    <w:rsid w:val="F54BAC81"/>
    <w:rsid w:val="F57F86CD"/>
    <w:rsid w:val="F5FFC647"/>
    <w:rsid w:val="F6BB1A91"/>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EDFAC7C"/>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收入预算</a:t>
            </a:r>
          </a:p>
        </c:rich>
      </c:tx>
      <c:layout/>
      <c:overlay val="false"/>
      <c:spPr>
        <a:noFill/>
        <a:ln>
          <a:noFill/>
        </a:ln>
        <a:effectLst/>
      </c:spPr>
    </c:title>
    <c:autoTitleDeleted val="fals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Lbl>
              <c:idx val="2"/>
              <c:layout>
                <c:manualLayout>
                  <c:x val="-0.0221067890794878"/>
                  <c:y val="-0.019549511262218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735684948055086"/>
                  <c:y val="-0.017637059073523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一般公共拨款收入</c:v>
                </c:pt>
                <c:pt idx="1">
                  <c:v>事业收入</c:v>
                </c:pt>
                <c:pt idx="2">
                  <c:v>其他收入</c:v>
                </c:pt>
                <c:pt idx="3">
                  <c:v>上年结转结余</c:v>
                </c:pt>
              </c:strCache>
            </c:strRef>
          </c:cat>
          <c:val>
            <c:numRef>
              <c:f>Sheet1!$B$2:$B$5</c:f>
              <c:numCache>
                <c:formatCode>0.00%</c:formatCode>
                <c:ptCount val="4"/>
                <c:pt idx="0">
                  <c:v>0.8236</c:v>
                </c:pt>
                <c:pt idx="1">
                  <c:v>0.1515</c:v>
                </c:pt>
                <c:pt idx="2">
                  <c:v>0.0006</c:v>
                </c:pt>
                <c:pt idx="3">
                  <c:v>0.0243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1"/>
          <c:order val="1"/>
          <c:tx>
            <c:strRef>
              <c:f>Sheet1!$C$1</c:f>
              <c:strCache>
                <c:ptCount val="1"/>
                <c:pt idx="0">
                  <c:v>列2</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Sheet1!$C$2:$C$3</c:f>
              <c:numCache>
                <c:formatCode>0.00%</c:formatCode>
                <c:ptCount val="2"/>
                <c:pt idx="0">
                  <c:v>0.6015</c:v>
                </c:pt>
                <c:pt idx="1">
                  <c:v>0.3985</c:v>
                </c:pt>
              </c:numCache>
            </c:numRef>
          </c:val>
        </c:ser>
        <c:dLbls>
          <c:showLegendKey val="false"/>
          <c:showVal val="false"/>
          <c:showCatName val="false"/>
          <c:showSerName val="false"/>
          <c:showPercent val="false"/>
          <c:showBubbleSize val="false"/>
          <c:showLeaderLines val="true"/>
        </c:dLbls>
        <c:firstSliceAng val="0"/>
        <c:extLst>
          <c:ext xmlns:c15="http://schemas.microsoft.com/office/drawing/2012/chart" uri="{02D57815-91ED-43cb-92C2-25804820EDAC}">
            <c15:filteredPieSeries>
              <c15:ser>
                <c:idx val="0"/>
                <c:order val="0"/>
                <c:tx>
                  <c:strRef>
                    <c:extLst>
                      <c:ext uri="{02D57815-91ED-43cb-92C2-25804820EDAC}">
                        <c15:formulaRef>
                          <c15:sqref>Sheet1!$B$1</c15:sqref>
                        </c15:formulaRef>
                      </c:ext>
                    </c:extLst>
                    <c:strCache>
                      <c:ptCount val="1"/>
                      <c:pt idx="0">
                        <c:v>列1</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132434384782085"/>
                        <c:y val="-0.0274067753914662"/>
                      </c:manualLayout>
                    </c:layout>
                    <c:numFmt formatCode="General" sourceLinked="true"/>
                    <c:spPr>
                      <a:noFill/>
                      <a:ln>
                        <a:noFill/>
                      </a:ln>
                      <a:effectLst/>
                    </c:spPr>
                    <c:txPr>
                      <a:bodyPr rot="0" spcFirstLastPara="1" vertOverflow="ellipsis" vert="horz" wrap="square" lIns="38100" tIns="19050" rIns="38100" bIns="19050" anchor="ctr" anchorCtr="true">
                        <a:no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manualLayout>
                            <c:w val="0.0758487840115579"/>
                            <c:h val="0.0526315789473684"/>
                          </c:manualLayout>
                        </c15:layout>
                      </c:ext>
                    </c:extLst>
                  </c:dLbl>
                  <c:dLbl>
                    <c:idx val="1"/>
                    <c:layout/>
                    <c:dLblPos val="bestFit"/>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Sheet1!$A$2:$A$3</c15:sqref>
                        </c15:formulaRef>
                      </c:ext>
                    </c:extLst>
                    <c:strCache>
                      <c:ptCount val="2"/>
                      <c:pt idx="0">
                        <c:v>基本支出</c:v>
                      </c:pt>
                      <c:pt idx="1">
                        <c:v>项目支出</c:v>
                      </c:pt>
                    </c:strCache>
                  </c:strRef>
                </c:cat>
                <c:val>
                  <c:numRef>
                    <c:extLst>
                      <c:ext uri="{02D57815-91ED-43cb-92C2-25804820EDAC}">
                        <c15:formulaRef>
                          <c15:sqref>Sheet1!$B$2:$B$3</c15:sqref>
                        </c15:formulaRef>
                      </c:ext>
                    </c:extLst>
                    <c:numCache>
                      <c:formatCode>General</c:formatCode>
                      <c:ptCount val="2"/>
                      <c:pt idx="0">
                        <c:v>8732.72</c:v>
                      </c:pt>
                      <c:pt idx="1">
                        <c:v>5786.13</c:v>
                      </c:pt>
                    </c:numCache>
                  </c:numRef>
                </c:val>
              </c15:ser>
            </c15:filteredPieSeries>
          </c:ext>
        </c:extLst>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9</Pages>
  <Words>2381</Words>
  <Characters>2727</Characters>
  <Lines>20</Lines>
  <Paragraphs>5</Paragraphs>
  <TotalTime>0</TotalTime>
  <ScaleCrop>false</ScaleCrop>
  <LinksUpToDate>false</LinksUpToDate>
  <CharactersWithSpaces>2752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2024-03-05T18:21:00Z</dcterms:created>
  <dc:creator>马荣丽</dc:creator>
  <cp:lastModifiedBy>18500299229</cp:lastModifiedBy>
  <cp:lastPrinted>2024-03-05T00:19:00Z</cp:lastPrinted>
  <dcterms:modified xsi:type="dcterms:W3CDTF">2024-03-11T16:37:22Z</dcterms:modified>
  <dc:title>处领导：</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8FA34D5B8FB340E3A3D1E80A42AEE0B9_13</vt:lpwstr>
  </property>
</Properties>
</file>