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color w:val="000000"/>
          <w:sz w:val="44"/>
          <w:szCs w:val="44"/>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北京教育科学研究院</w:t>
      </w: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2024年度单位预算信息公开</w:t>
      </w:r>
    </w:p>
    <w:p>
      <w:pPr>
        <w:spacing w:line="240" w:lineRule="exact"/>
        <w:jc w:val="center"/>
        <w:rPr>
          <w:rFonts w:hint="eastAsia" w:ascii="方正小标宋简体" w:eastAsia="方正小标宋简体"/>
          <w:color w:val="000000"/>
          <w:sz w:val="32"/>
          <w:szCs w:val="32"/>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hint="eastAsia" w:ascii="方正小标宋简体" w:eastAsia="方正小标宋简体"/>
          <w:color w:val="000000"/>
          <w:sz w:val="32"/>
          <w:szCs w:val="32"/>
        </w:rPr>
      </w:pP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hint="eastAsia"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hint="eastAsia"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仿宋_GB2312" w:hAnsi="仿宋_GB2312" w:eastAsia="仿宋_GB2312" w:cs="仿宋_GB2312"/>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pStyle w:val="2"/>
        <w:jc w:val="center"/>
        <w:rPr>
          <w:rFonts w:hint="eastAsia"/>
        </w:rPr>
      </w:pPr>
    </w:p>
    <w:p>
      <w:pPr>
        <w:jc w:val="center"/>
        <w:rPr>
          <w:rFonts w:hint="eastAsia"/>
        </w:rPr>
      </w:pPr>
    </w:p>
    <w:p>
      <w:pPr>
        <w:pStyle w:val="2"/>
        <w:jc w:val="center"/>
        <w:rPr>
          <w:rFonts w:hint="eastAsia"/>
        </w:rPr>
      </w:pPr>
    </w:p>
    <w:p>
      <w:pPr>
        <w:jc w:val="center"/>
        <w:rPr>
          <w:rFonts w:hint="eastAsia"/>
        </w:rPr>
      </w:pPr>
    </w:p>
    <w:p>
      <w:pPr>
        <w:pStyle w:val="2"/>
        <w:jc w:val="center"/>
        <w:rPr>
          <w:rFonts w:hint="eastAsia"/>
        </w:rPr>
      </w:pPr>
    </w:p>
    <w:p>
      <w:pPr>
        <w:jc w:val="center"/>
        <w:rPr>
          <w:rFonts w:hint="eastAsia"/>
        </w:rPr>
      </w:pPr>
    </w:p>
    <w:p>
      <w:pPr>
        <w:pStyle w:val="2"/>
        <w:jc w:val="center"/>
        <w:rPr>
          <w:rFonts w:hint="eastAsia"/>
        </w:rPr>
      </w:pPr>
    </w:p>
    <w:p>
      <w:pPr>
        <w:spacing w:line="560" w:lineRule="exact"/>
        <w:jc w:val="center"/>
        <w:rPr>
          <w:rFonts w:hint="eastAsia" w:ascii="方正小标宋简体" w:eastAsia="方正小标宋简体"/>
          <w:color w:val="000000"/>
          <w:sz w:val="36"/>
          <w:szCs w:val="36"/>
        </w:rPr>
      </w:pPr>
    </w:p>
    <w:p>
      <w:pPr>
        <w:spacing w:line="560" w:lineRule="exact"/>
        <w:jc w:val="both"/>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hint="eastAsia" w:ascii="黑体" w:eastAsia="黑体"/>
          <w:color w:val="000000"/>
          <w:sz w:val="32"/>
          <w:szCs w:val="32"/>
        </w:rPr>
      </w:pP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北京教育科学研究院为公益二类事业单位，主要职责为 (1)组织、管理学前教育、基础教育、高等教育、职业教育、特殊教育、成人教育科学研究和教学研究工作；(2)受国家和市行政部门委托，从事专题调查及专题教育科学研究、教育决策和宏观管理提供服务；(3)推广科学研究成果，为我市教育改革、发展和提高（质量和效益）服务；(4)负责北京市教育科学规划的编制和重点课题的管理；(5)搜集、整理教育信息，开展教育信息服务；(6)开展教育研究的国内外合作与交流工作；(7)研究基础教育、职业教育和成人教育的教材建设，承担中小学教材、职业教育教材以及各级各类成人教育教材的编写工作。</w:t>
      </w:r>
    </w:p>
    <w:p>
      <w:pPr>
        <w:spacing w:line="560" w:lineRule="exact"/>
        <w:ind w:firstLine="640" w:firstLineChars="200"/>
        <w:rPr>
          <w:rFonts w:ascii="仿宋_GB2312" w:hAnsi="仿宋_GB2312" w:eastAsia="仿宋_GB2312" w:cs="仿宋_GB2312"/>
          <w:color w:val="000000"/>
          <w:kern w:val="0"/>
          <w:sz w:val="32"/>
          <w:szCs w:val="32"/>
          <w:lang w:val="zh-CN"/>
        </w:rPr>
      </w:pPr>
      <w:r>
        <w:rPr>
          <w:rFonts w:hint="eastAsia" w:ascii="楷体_GB2312" w:eastAsia="楷体_GB2312"/>
          <w:color w:val="000000"/>
          <w:sz w:val="32"/>
          <w:szCs w:val="32"/>
        </w:rPr>
        <w:t>（二）机构设置情况</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color w:val="000000"/>
          <w:kern w:val="0"/>
          <w:sz w:val="32"/>
          <w:szCs w:val="32"/>
          <w:lang w:val="zh-CN"/>
        </w:rPr>
        <w:t>北京教育科学研究院</w:t>
      </w:r>
      <w:r>
        <w:rPr>
          <w:rFonts w:hint="eastAsia" w:ascii="仿宋_GB2312" w:eastAsia="仿宋_GB2312"/>
          <w:sz w:val="32"/>
          <w:szCs w:val="32"/>
        </w:rPr>
        <w:t>内设19个机构，分别为：办公室、组织宣传部、纪检监察处、人力资源开发与管理处、财务处、基建行政处、科教研管理与合作交流处（北京市教育科学规划领导小组办公室）、教育发展研究中心、基础教育教学研究中心、基础教育科学研究所、基础教育课程教材发展研究中心、职业教育科学研究所、终身学习与可持续发展教育研究所、高等教育科学研究所、德育研究中心、早期教育研究所、教师研究中心、北京市特殊教育研究指导中心、期刊部。</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hint="eastAsia" w:ascii="仿宋_GB2312" w:eastAsia="仿宋_GB2312"/>
          <w:color w:val="000000"/>
          <w:sz w:val="32"/>
          <w:szCs w:val="32"/>
        </w:rPr>
      </w:pPr>
      <w:r>
        <w:rPr>
          <w:rFonts w:hint="eastAsia" w:ascii="仿宋_GB2312" w:hAnsi="仿宋_GB2312" w:eastAsia="仿宋_GB2312" w:cs="仿宋_GB2312"/>
          <w:color w:val="000000"/>
          <w:kern w:val="0"/>
          <w:sz w:val="32"/>
          <w:szCs w:val="32"/>
          <w:lang w:val="zh-CN"/>
        </w:rPr>
        <w:t>北京教育科学研究院</w:t>
      </w:r>
      <w:r>
        <w:rPr>
          <w:rFonts w:hint="eastAsia" w:ascii="仿宋_GB2312" w:eastAsia="仿宋_GB2312"/>
          <w:color w:val="000000"/>
          <w:sz w:val="32"/>
          <w:szCs w:val="32"/>
        </w:rPr>
        <w:t>行政编制0人，</w:t>
      </w:r>
      <w:r>
        <w:rPr>
          <w:rFonts w:hint="eastAsia" w:ascii="仿宋_GB2312" w:eastAsia="仿宋_GB2312"/>
          <w:color w:val="000000"/>
          <w:sz w:val="32"/>
          <w:szCs w:val="32"/>
          <w:lang w:val="en-US" w:eastAsia="zh-CN"/>
        </w:rPr>
        <w:t>实际</w:t>
      </w:r>
      <w:r>
        <w:rPr>
          <w:rFonts w:hint="eastAsia" w:ascii="仿宋_GB2312" w:eastAsia="仿宋_GB2312"/>
          <w:color w:val="000000"/>
          <w:sz w:val="32"/>
          <w:szCs w:val="32"/>
        </w:rPr>
        <w:t>0人；事业编制408人，</w:t>
      </w:r>
      <w:r>
        <w:rPr>
          <w:rFonts w:hint="eastAsia" w:ascii="仿宋_GB2312" w:eastAsia="仿宋_GB2312"/>
          <w:color w:val="000000"/>
          <w:sz w:val="32"/>
          <w:szCs w:val="32"/>
          <w:lang w:val="en-US" w:eastAsia="zh-CN"/>
        </w:rPr>
        <w:t>实际</w:t>
      </w:r>
      <w:r>
        <w:rPr>
          <w:rFonts w:hint="eastAsia" w:ascii="仿宋_GB2312" w:eastAsia="仿宋_GB2312"/>
          <w:color w:val="000000"/>
          <w:sz w:val="32"/>
          <w:szCs w:val="32"/>
        </w:rPr>
        <w:t>365人</w:t>
      </w:r>
      <w:r>
        <w:rPr>
          <w:rFonts w:hint="eastAsia" w:ascii="仿宋_GB2312" w:eastAsia="仿宋_GB2312"/>
          <w:color w:val="000000"/>
          <w:sz w:val="32"/>
          <w:szCs w:val="32"/>
          <w:lang w:eastAsia="zh-CN"/>
        </w:rPr>
        <w:t>。</w:t>
      </w:r>
      <w:r>
        <w:rPr>
          <w:rFonts w:hint="eastAsia" w:ascii="仿宋_GB2312" w:eastAsia="仿宋_GB2312"/>
          <w:sz w:val="32"/>
          <w:szCs w:val="32"/>
        </w:rPr>
        <w:t>离退休人员307人，其中：离休3人，退休304人</w:t>
      </w:r>
      <w:r>
        <w:rPr>
          <w:rFonts w:hint="eastAsia" w:ascii="仿宋_GB2312" w:eastAsia="仿宋_GB2312"/>
          <w:color w:val="000000"/>
          <w:sz w:val="32"/>
          <w:szCs w:val="32"/>
        </w:rPr>
        <w:t>。</w:t>
      </w:r>
    </w:p>
    <w:p>
      <w:pPr>
        <w:spacing w:line="560" w:lineRule="exact"/>
        <w:ind w:firstLine="640" w:firstLineChars="200"/>
        <w:rPr>
          <w:rFonts w:ascii="仿宋_GB2312" w:eastAsia="仿宋_GB2312"/>
          <w:color w:val="1F3864"/>
          <w:sz w:val="24"/>
        </w:rPr>
      </w:pPr>
      <w:r>
        <w:rPr>
          <w:rFonts w:hint="eastAsia" w:ascii="黑体" w:eastAsia="黑体"/>
          <w:color w:val="000000"/>
          <w:sz w:val="32"/>
          <w:szCs w:val="32"/>
        </w:rPr>
        <w:t>二、收入预算情况说明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2024年度收入预算32438.77万元，比2023年年初预算数19404.17万元增加13034.60万元，增长67.17%。主要原因是按照全口径预算管理要求，为进一步加强非财政拨款资金管理，将所有非财政拨款资金全部纳入年度预算管理。</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（一）本年财政拨款收入16122.45万元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1.一般公共预算拨款收入16122.45万元。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2.政府性基金预算拨款收入0万元。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3.国有资本经营预算拨款收入0万元。</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（二）本年其他资金收入2730.00万元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5.事业收入630.00万元。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7.附属单位上缴收入2000.00万元。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9.其他收入100.00万元。</w:t>
      </w:r>
    </w:p>
    <w:p>
      <w:pPr>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（三）上年结转结余13586.32万元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10.上年结转结余13586.32万元。</w:t>
      </w:r>
    </w:p>
    <w:p>
      <w:pPr>
        <w:pStyle w:val="2"/>
        <w:jc w:val="center"/>
      </w:pPr>
      <w:r>
        <w:drawing>
          <wp:inline distT="0" distB="0" distL="114300" distR="114300">
            <wp:extent cx="4572000" cy="2743200"/>
            <wp:effectExtent l="4445" t="4445" r="8255" b="825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hint="eastAsia"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hint="eastAsia" w:ascii="仿宋_GB2312" w:eastAsia="仿宋_GB2312"/>
          <w:color w:val="1F3864"/>
          <w:sz w:val="24"/>
        </w:rPr>
      </w:pPr>
      <w:r>
        <w:rPr>
          <w:rFonts w:hint="eastAsia" w:ascii="黑体" w:eastAsia="黑体"/>
          <w:sz w:val="32"/>
          <w:szCs w:val="32"/>
        </w:rPr>
        <w:t>三、支出预算情况说明</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2024年支出预算32438.77万元，比2023年年初预算数19404.17万元增加13034.60万元，增长67.17%。主要原因是</w:t>
      </w:r>
      <w:r>
        <w:rPr>
          <w:rFonts w:hint="eastAsia" w:ascii="仿宋" w:hAnsi="仿宋" w:eastAsia="仿宋"/>
          <w:sz w:val="32"/>
          <w:szCs w:val="32"/>
        </w:rPr>
        <w:t>根据事业发展规划，非财政拨款项</w:t>
      </w:r>
      <w:bookmarkStart w:id="0" w:name="_GoBack"/>
      <w:bookmarkEnd w:id="0"/>
      <w:r>
        <w:rPr>
          <w:rFonts w:hint="eastAsia" w:ascii="仿宋" w:hAnsi="仿宋" w:eastAsia="仿宋"/>
          <w:sz w:val="32"/>
          <w:szCs w:val="32"/>
        </w:rPr>
        <w:t>目支出增加</w:t>
      </w:r>
      <w:r>
        <w:rPr>
          <w:rFonts w:hint="eastAsia" w:ascii="仿宋_GB2312" w:eastAsia="仿宋_GB2312"/>
          <w:sz w:val="32"/>
          <w:szCs w:val="32"/>
        </w:rPr>
        <w:t>。</w:t>
      </w:r>
    </w:p>
    <w:p>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基本支出预算19188.06万元，占总支出预算63.04%，比2023年年初预算数18262.17万元增加925.89万元，增长5.07%。</w:t>
      </w:r>
    </w:p>
    <w:p>
      <w:pPr>
        <w:spacing w:line="560" w:lineRule="exact"/>
        <w:ind w:firstLine="640"/>
        <w:rPr>
          <w:rFonts w:hint="eastAsia"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项目支出预算11250.71万元，比2023年年初预算数1142.00万元增加10108.71万元，增长885.18%。其中：</w:t>
      </w:r>
    </w:p>
    <w:p>
      <w:pPr>
        <w:spacing w:line="560" w:lineRule="exact"/>
        <w:ind w:firstLine="640"/>
        <w:rPr>
          <w:rFonts w:hint="eastAsia"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hint="eastAsia"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hint="eastAsia" w:ascii="仿宋_GB2312" w:eastAsia="仿宋_GB2312"/>
          <w:sz w:val="32"/>
          <w:szCs w:val="32"/>
        </w:rPr>
      </w:pPr>
      <w:r>
        <w:rPr>
          <w:rFonts w:hint="eastAsia" w:ascii="仿宋_GB2312" w:eastAsia="仿宋_GB2312"/>
          <w:sz w:val="32"/>
          <w:szCs w:val="32"/>
        </w:rPr>
        <w:t>3.对附属单位补助支出0万元。</w:t>
      </w:r>
    </w:p>
    <w:p>
      <w:pPr>
        <w:pStyle w:val="2"/>
        <w:jc w:val="center"/>
      </w:pPr>
      <w:r>
        <w:drawing>
          <wp:inline distT="0" distB="0" distL="114300" distR="114300">
            <wp:extent cx="4572000" cy="2743200"/>
            <wp:effectExtent l="4445" t="4445" r="8255" b="825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年终结转结余资金2000.00万元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rPr>
        <w:t>四、财政拨款“三公”经费预算情况说明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（一）“三公”经费的单位范围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本单位因公出国（境）费用、公务接待费、公务用车购置和运行维护费开支单位包括1个所属单位。其他所属单位2024年无财政拨款安排的“三公”经费预算。</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（二）财政拨款“三公”经费预算情况说明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2024年财政拨款“三公”经费预算30.29万元，与2023年持平。其中：</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1.因公出国（境）费用。2024年预算数0万元，与2023年持平。</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2.公务接待费。2024年预算数0.29万元，与2023年持平。</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公务用车购置和运行维护费。2024年预算数30.00万元，包括：公务用车购置费2024年预算数0万元，与2023年持平；公务用车运行维护费2024年预算数30.00万元，其中：公务用车燃油15.90万元，公务用车维修5.10万元，公务用车保险5.10万元，其他支出3.90万元。公务用车运行维护费2024年预算数与2023年持平。</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rPr>
        <w:t>五、其他情况说明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（一）政府采购预算说明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2024年本单位政府采购预算总额5929.69万元，其中：政府采购货物预算270.31万元，政府采购工程预算2562.67万元，政府采购服务预算3096.71万元。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（二）政府购买服务预算说明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本单位2024年无政府购买服务预算。</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（三）机关运行经费说明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eastAsia="仿宋_GB2312"/>
          <w:sz w:val="32"/>
          <w:szCs w:val="32"/>
        </w:rPr>
        <w:t>我单位不在机关运行经费统计范围之内。</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（四）项目支出绩效目标情况说明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2024年，本单位填报绩效目标的预算项目46个，占本单位本年预算项目46个的100%。填报绩效目标的项目支出预算11250.71万元，占本单位本年项目支出预算的100%。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（五）重点行政事业性收费情况说明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仿宋_GB2312" w:eastAsia="仿宋_GB2312"/>
          <w:sz w:val="32"/>
          <w:szCs w:val="32"/>
        </w:rPr>
        <w:t>本单位2024年无重点行政事业性收费。</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rPr>
        <w:t>（六）国有资本经营预算财政拨款情况说明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color w:val="000000"/>
          <w:sz w:val="32"/>
          <w:szCs w:val="32"/>
        </w:rPr>
      </w:pPr>
      <w:r>
        <w:rPr>
          <w:rFonts w:hint="eastAsia" w:ascii="楷体_GB2312" w:eastAsia="楷体_GB2312"/>
          <w:color w:val="000000"/>
          <w:sz w:val="32"/>
          <w:szCs w:val="32"/>
        </w:rPr>
        <w:t>（七）国有资产占用情况说明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截至2023年底，本单位共有车辆13台，共计248.10万元；单位价值50万元以上的设备0台（套）、共计0万元。2024年预算安排中，购置单位价值50万元以上的设备11台（套），共计4553.77万元。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pacing w:val="-2"/>
          <w:sz w:val="32"/>
          <w:szCs w:val="32"/>
        </w:rPr>
      </w:pPr>
      <w:r>
        <w:rPr>
          <w:rFonts w:hint="eastAsia" w:ascii="黑体" w:eastAsia="黑体"/>
          <w:color w:val="000000"/>
          <w:sz w:val="32"/>
          <w:szCs w:val="32"/>
        </w:rPr>
        <w:t>六、名词解释</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000000"/>
          <w:sz w:val="36"/>
          <w:szCs w:val="36"/>
        </w:rPr>
      </w:pPr>
    </w:p>
    <w:p>
      <w:pPr>
        <w:pStyle w:val="2"/>
        <w:pageBreakBefore w:val="0"/>
        <w:widowControl w:val="0"/>
        <w:kinsoku/>
        <w:wordWrap/>
        <w:overflowPunct/>
        <w:topLinePunct w:val="0"/>
        <w:autoSpaceDE/>
        <w:autoSpaceDN/>
        <w:bidi w:val="0"/>
        <w:adjustRightInd/>
        <w:snapToGrid/>
        <w:spacing w:line="560" w:lineRule="exact"/>
        <w:textAlignment w:val="auto"/>
        <w:rPr>
          <w:rFonts w:hint="eastAsia"/>
        </w:rPr>
      </w:pPr>
    </w:p>
    <w:p>
      <w:pPr>
        <w:pageBreakBefore w:val="0"/>
        <w:widowControl w:val="0"/>
        <w:kinsoku/>
        <w:wordWrap/>
        <w:overflowPunct/>
        <w:topLinePunct w:val="0"/>
        <w:autoSpaceDE/>
        <w:autoSpaceDN/>
        <w:bidi w:val="0"/>
        <w:adjustRightInd/>
        <w:snapToGrid/>
        <w:spacing w:line="560" w:lineRule="exact"/>
        <w:textAlignment w:val="auto"/>
        <w:rPr>
          <w:rFonts w:hint="eastAsia"/>
        </w:rPr>
      </w:pPr>
    </w:p>
    <w:p>
      <w:pPr>
        <w:pStyle w:val="2"/>
        <w:pageBreakBefore w:val="0"/>
        <w:widowControl w:val="0"/>
        <w:kinsoku/>
        <w:wordWrap/>
        <w:overflowPunct/>
        <w:topLinePunct w:val="0"/>
        <w:autoSpaceDE/>
        <w:autoSpaceDN/>
        <w:bidi w:val="0"/>
        <w:adjustRightInd/>
        <w:snapToGrid/>
        <w:spacing w:line="560" w:lineRule="exact"/>
        <w:textAlignment w:val="auto"/>
        <w:rPr>
          <w:rFonts w:hint="eastAsia"/>
        </w:rPr>
      </w:pPr>
    </w:p>
    <w:p>
      <w:pPr>
        <w:rPr>
          <w:rFonts w:hint="eastAsia"/>
        </w:rPr>
      </w:pPr>
    </w:p>
    <w:p>
      <w:pPr>
        <w:pStyle w:val="2"/>
        <w:rPr>
          <w:rFonts w:hint="eastAsia"/>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hint="eastAsia"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附件：北京教育科学研究院2024年度单位预算报表</w:t>
      </w:r>
      <w:r>
        <w:rPr>
          <w:rFonts w:hint="eastAsia" w:ascii="仿宋_GB2312" w:eastAsia="仿宋_GB2312" w:cs="宋体"/>
          <w:color w:val="000000"/>
          <w:kern w:val="0"/>
          <w:sz w:val="32"/>
          <w:szCs w:val="32"/>
          <w:lang w:val="zh-CN"/>
        </w:rPr>
        <w:t xml:space="preserve"> </w:t>
      </w:r>
    </w:p>
    <w:p>
      <w:pPr>
        <w:rPr>
          <w:rFonts w:hint="eastAsia"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txbxContent>
              </v:textbox>
            </v:shape>
          </w:pict>
        </mc:Fallback>
      </mc:AlternateContent>
    </w:r>
  </w:p>
  <w:p>
    <w:pPr>
      <w:pStyle w:val="5"/>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 w:name="KSO_WPS_MARK_KEY" w:val="4d395b89-341e-46c9-8bac-30cd589b885b"/>
  </w:docVars>
  <w:rsids>
    <w:rsidRoot w:val="00797F79"/>
    <w:rsid w:val="00024E05"/>
    <w:rsid w:val="000B36F0"/>
    <w:rsid w:val="0011020E"/>
    <w:rsid w:val="00127322"/>
    <w:rsid w:val="00175DEA"/>
    <w:rsid w:val="001E0067"/>
    <w:rsid w:val="00220AAA"/>
    <w:rsid w:val="00241484"/>
    <w:rsid w:val="00251499"/>
    <w:rsid w:val="0032325C"/>
    <w:rsid w:val="0037230A"/>
    <w:rsid w:val="003C3903"/>
    <w:rsid w:val="00425D1D"/>
    <w:rsid w:val="00491FF7"/>
    <w:rsid w:val="004A4AD1"/>
    <w:rsid w:val="004D588D"/>
    <w:rsid w:val="005C7380"/>
    <w:rsid w:val="006877AE"/>
    <w:rsid w:val="006D5291"/>
    <w:rsid w:val="006E7F1F"/>
    <w:rsid w:val="006F3804"/>
    <w:rsid w:val="006F3CD8"/>
    <w:rsid w:val="00755A2F"/>
    <w:rsid w:val="00846931"/>
    <w:rsid w:val="00894BF9"/>
    <w:rsid w:val="008A2E8D"/>
    <w:rsid w:val="008D5292"/>
    <w:rsid w:val="009011D0"/>
    <w:rsid w:val="009246B6"/>
    <w:rsid w:val="00973574"/>
    <w:rsid w:val="009F505C"/>
    <w:rsid w:val="009F6ECC"/>
    <w:rsid w:val="00A44B4D"/>
    <w:rsid w:val="00A95C3B"/>
    <w:rsid w:val="00B042E3"/>
    <w:rsid w:val="00B225D4"/>
    <w:rsid w:val="00BD5315"/>
    <w:rsid w:val="00BE6B8A"/>
    <w:rsid w:val="00C4319B"/>
    <w:rsid w:val="00CA28F8"/>
    <w:rsid w:val="00CF1F09"/>
    <w:rsid w:val="00D7459F"/>
    <w:rsid w:val="00DB2F89"/>
    <w:rsid w:val="00E51413"/>
    <w:rsid w:val="00E57D6D"/>
    <w:rsid w:val="00F212FB"/>
    <w:rsid w:val="00F45139"/>
    <w:rsid w:val="00F50F8C"/>
    <w:rsid w:val="00F97851"/>
    <w:rsid w:val="00FA25D1"/>
    <w:rsid w:val="01DE318D"/>
    <w:rsid w:val="0CAE7B33"/>
    <w:rsid w:val="0EFFF08B"/>
    <w:rsid w:val="1556FFE7"/>
    <w:rsid w:val="1E2F585A"/>
    <w:rsid w:val="1E752F61"/>
    <w:rsid w:val="1FB9016F"/>
    <w:rsid w:val="1FE6D21C"/>
    <w:rsid w:val="23735A5C"/>
    <w:rsid w:val="27742F68"/>
    <w:rsid w:val="2F7EA178"/>
    <w:rsid w:val="2FF31CCC"/>
    <w:rsid w:val="33BF5DDC"/>
    <w:rsid w:val="37BFBFEE"/>
    <w:rsid w:val="37FD2E23"/>
    <w:rsid w:val="37FF18B9"/>
    <w:rsid w:val="3AEE7FDD"/>
    <w:rsid w:val="3B1D5808"/>
    <w:rsid w:val="3BFE8EC0"/>
    <w:rsid w:val="3D3B750B"/>
    <w:rsid w:val="3D9700A1"/>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D68066"/>
    <w:rsid w:val="4E67CE40"/>
    <w:rsid w:val="4F6D150F"/>
    <w:rsid w:val="4FEE37C7"/>
    <w:rsid w:val="513F7105"/>
    <w:rsid w:val="517E78AA"/>
    <w:rsid w:val="53DE1F61"/>
    <w:rsid w:val="53DF3E7F"/>
    <w:rsid w:val="545DF6FA"/>
    <w:rsid w:val="55DE48F6"/>
    <w:rsid w:val="57ADBE82"/>
    <w:rsid w:val="57E332DD"/>
    <w:rsid w:val="57E9CD93"/>
    <w:rsid w:val="57EB425A"/>
    <w:rsid w:val="596AEB91"/>
    <w:rsid w:val="59D7A30C"/>
    <w:rsid w:val="5BEE7D82"/>
    <w:rsid w:val="5BFC36A8"/>
    <w:rsid w:val="5F5F35ED"/>
    <w:rsid w:val="5FB4B9F0"/>
    <w:rsid w:val="5FD532B6"/>
    <w:rsid w:val="5FD56614"/>
    <w:rsid w:val="5FE95128"/>
    <w:rsid w:val="5FFFD6B5"/>
    <w:rsid w:val="65B27F90"/>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064F3C"/>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15D10"/>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rPr>
      <w:rFonts w:eastAsia="楷体_GB2312" w:cs="Droid Sans"/>
      <w:sz w:val="32"/>
      <w:szCs w:val="20"/>
      <w:lang w:bidi="ar-SA"/>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Char"/>
    <w:link w:val="4"/>
    <w:qFormat/>
    <w:uiPriority w:val="0"/>
    <w:rPr>
      <w:rFonts w:ascii="Times New Roman" w:hAnsi="Times New Roman"/>
      <w:kern w:val="2"/>
      <w:sz w:val="18"/>
      <w:szCs w:val="18"/>
    </w:rPr>
  </w:style>
  <w:style w:type="character" w:customStyle="1" w:styleId="11">
    <w:name w:val="页脚 Char"/>
    <w:link w:val="5"/>
    <w:qFormat/>
    <w:uiPriority w:val="99"/>
    <w:rPr>
      <w:rFonts w:ascii="Times New Roman" w:hAnsi="Times New Roman"/>
      <w:kern w:val="2"/>
      <w:sz w:val="18"/>
    </w:rPr>
  </w:style>
  <w:style w:type="character" w:customStyle="1" w:styleId="12">
    <w:name w:val="页眉 Char"/>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oleObject" Target="file:///E:\&#21327;&#20250;\&#25910;&#25903;&#24773;&#20917;\2022&#24180;&#20915;&#31639;&#25253;&#21578;&#22270;&#34920;&#27719;&#24635;.xlsx" TargetMode="External"/></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E:\&#21327;&#20250;\&#25910;&#25903;&#24773;&#20917;\2022&#24180;&#20915;&#31639;&#25253;&#21578;&#22270;&#34920;&#27719;&#246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收入预算</a:t>
            </a:r>
            <a:endParaRPr lang="zh-CN" altLang="en-US"/>
          </a:p>
        </c:rich>
      </c:tx>
      <c:layout/>
      <c:overlay val="false"/>
    </c:title>
    <c:autoTitleDeleted val="false"/>
    <c:plotArea>
      <c:layout/>
      <c:pieChart>
        <c:varyColors val="true"/>
        <c:ser>
          <c:idx val="0"/>
          <c:order val="0"/>
          <c:explosion val="0"/>
          <c:dPt>
            <c:idx val="0"/>
            <c:bubble3D val="false"/>
          </c:dPt>
          <c:dPt>
            <c:idx val="1"/>
            <c:bubble3D val="false"/>
          </c:dPt>
          <c:dPt>
            <c:idx val="2"/>
            <c:bubble3D val="false"/>
          </c:dPt>
          <c:dPt>
            <c:idx val="3"/>
            <c:bubble3D val="false"/>
          </c:dPt>
          <c:dPt>
            <c:idx val="4"/>
            <c:bubble3D val="false"/>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49.70</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manualLayout>
                  <c:x val="0.131822802864155"/>
                  <c:y val="0.00118594807749572"/>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1.94</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204440315238612"/>
                  <c:y val="-0.0597328302099462"/>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6</a:t>
                    </a:r>
                    <a:r>
                      <a:rPr lang="en-US" altLang="zh-CN"/>
                      <a:t>.17</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47258978324642"/>
                  <c:y val="-0.017154793444548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0</a:t>
                    </a:r>
                    <a:r>
                      <a:rPr lang="en-US" altLang="zh-CN"/>
                      <a:t>.31</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4"/>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4</a:t>
                    </a:r>
                    <a:r>
                      <a:rPr lang="en-US" altLang="zh-CN"/>
                      <a:t>1.88</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10875"/>
                      <c:h val="0.0699074074074074"/>
                    </c:manualLayout>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'3-1各项收入占总收入的比重'!$A$2:$A$6</c:f>
              <c:strCache>
                <c:ptCount val="5"/>
                <c:pt idx="0">
                  <c:v>一般公共预算拨款收入</c:v>
                </c:pt>
                <c:pt idx="1">
                  <c:v>事业收入</c:v>
                </c:pt>
                <c:pt idx="2">
                  <c:v>附属单位上缴收入</c:v>
                </c:pt>
                <c:pt idx="3">
                  <c:v>其他收入</c:v>
                </c:pt>
                <c:pt idx="4">
                  <c:v>上年结转结余</c:v>
                </c:pt>
              </c:strCache>
            </c:strRef>
          </c:cat>
          <c:val>
            <c:numRef>
              <c:f>'3-1各项收入占总收入的比重'!$B$2:$B$6</c:f>
              <c:numCache>
                <c:formatCode>0.00%</c:formatCode>
                <c:ptCount val="5"/>
                <c:pt idx="0">
                  <c:v>0.497011754761355</c:v>
                </c:pt>
                <c:pt idx="1">
                  <c:v>0.0194212049347124</c:v>
                </c:pt>
                <c:pt idx="2">
                  <c:v>0.0616546188403568</c:v>
                </c:pt>
                <c:pt idx="3">
                  <c:v>0.00308273094201784</c:v>
                </c:pt>
                <c:pt idx="4">
                  <c:v>0.418829690521558</c:v>
                </c:pt>
              </c:numCache>
            </c:numRef>
          </c:val>
        </c:ser>
        <c:dLbls>
          <c:showLegendKey val="false"/>
          <c:showVal val="false"/>
          <c:showCatName val="false"/>
          <c:showSerName val="false"/>
          <c:showPercent val="tru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297323053368329"/>
          <c:y val="0.0790635024788568"/>
          <c:w val="0.405354111986002"/>
          <c:h val="0.675590186643336"/>
        </c:manualLayout>
      </c:layout>
      <c:pieChart>
        <c:varyColors val="true"/>
        <c:ser>
          <c:idx val="0"/>
          <c:order val="0"/>
          <c:explosion val="0"/>
          <c:dPt>
            <c:idx val="0"/>
            <c:bubble3D val="false"/>
          </c:dPt>
          <c:dPt>
            <c:idx val="1"/>
            <c:bubble3D val="false"/>
          </c:dPt>
          <c:dLbls>
            <c:dLbl>
              <c:idx val="0"/>
              <c:layout>
                <c:manualLayout>
                  <c:x val="-0.155780621172353"/>
                  <c:y val="-0.0877759550889472"/>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63</a:t>
                    </a:r>
                    <a:r>
                      <a:rPr lang="en-US" altLang="zh-CN"/>
                      <a:t>.04</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14536198600175"/>
                  <c:y val="0.11033282298046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3</a:t>
                    </a:r>
                    <a:r>
                      <a:rPr lang="en-US" altLang="zh-CN"/>
                      <a:t>6.96</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'3-1各项收入占总收入的比重'!$G$2:$G$3</c:f>
              <c:strCache>
                <c:ptCount val="2"/>
                <c:pt idx="0">
                  <c:v>基本支出</c:v>
                </c:pt>
                <c:pt idx="1">
                  <c:v>项目支出</c:v>
                </c:pt>
              </c:strCache>
            </c:strRef>
          </c:cat>
          <c:val>
            <c:numRef>
              <c:f>'3-1各项收入占总收入的比重'!$H$2:$H$3</c:f>
              <c:numCache>
                <c:formatCode>0.00%</c:formatCode>
                <c:ptCount val="2"/>
                <c:pt idx="0">
                  <c:v>0.630382239492595</c:v>
                </c:pt>
                <c:pt idx="1">
                  <c:v>0.369617760507405</c:v>
                </c:pt>
              </c:numCache>
            </c:numRef>
          </c:val>
        </c:ser>
        <c:dLbls>
          <c:showLegendKey val="false"/>
          <c:showVal val="false"/>
          <c:showCatName val="false"/>
          <c:showSerName val="false"/>
          <c:showPercent val="true"/>
          <c:showBubbleSize val="false"/>
          <c:showLeaderLines val="true"/>
        </c:dLbls>
        <c:firstSliceAng val="0"/>
      </c:pieChart>
    </c:plotArea>
    <c:legend>
      <c:legendPos val="t"/>
      <c:layout>
        <c:manualLayout>
          <c:xMode val="edge"/>
          <c:yMode val="edge"/>
          <c:x val="0.327273840769904"/>
          <c:y val="0.819444444444444"/>
          <c:w val="0.339896544181977"/>
          <c:h val="0.0837171916010499"/>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2374</Words>
  <Characters>2753</Characters>
  <Lines>20</Lines>
  <Paragraphs>5</Paragraphs>
  <TotalTime>19</TotalTime>
  <ScaleCrop>false</ScaleCrop>
  <LinksUpToDate>false</LinksUpToDate>
  <CharactersWithSpaces>2776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2024-03-05T09:10:00Z</dcterms:created>
  <dc:creator>马荣丽</dc:creator>
  <cp:lastModifiedBy>uos</cp:lastModifiedBy>
  <cp:lastPrinted>2024-03-04T16:19:00Z</cp:lastPrinted>
  <dcterms:modified xsi:type="dcterms:W3CDTF">2024-03-11T15:17:13Z</dcterms:modified>
  <dc:title>处领导：</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CE76877BBFDB4703AA70CB10C1E11D6A_13</vt:lpwstr>
  </property>
</Properties>
</file>