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line="240" w:lineRule="exact"/>
        <w:rPr>
          <w:rFonts w:eastAsia="黑体"/>
          <w:sz w:val="36"/>
        </w:rPr>
      </w:pPr>
    </w:p>
    <w:p>
      <w:pPr>
        <w:spacing w:line="560" w:lineRule="exact"/>
        <w:jc w:val="center"/>
        <w:rPr>
          <w:rFonts w:ascii="方正小标宋简体" w:hAnsi="Times New Roman" w:eastAsia="方正小标宋简体" w:cs="方正小标宋简体"/>
          <w:color w:val="000000"/>
          <w:sz w:val="44"/>
          <w:szCs w:val="44"/>
          <w:lang w:bidi="ar"/>
        </w:rPr>
      </w:pPr>
      <w:r>
        <w:rPr>
          <w:rFonts w:hint="eastAsia" w:ascii="方正小标宋简体" w:hAnsi="Times New Roman" w:eastAsia="方正小标宋简体" w:cs="方正小标宋简体"/>
          <w:color w:val="000000"/>
          <w:sz w:val="44"/>
          <w:szCs w:val="44"/>
          <w:lang w:bidi="ar"/>
        </w:rPr>
        <w:t>北京市数字教育中心（北京电化教育馆）</w:t>
      </w:r>
    </w:p>
    <w:p>
      <w:pPr>
        <w:spacing w:line="560" w:lineRule="exact"/>
        <w:jc w:val="center"/>
        <w:rPr>
          <w:rFonts w:ascii="方正小标宋简体" w:hAnsi="Times New Roman" w:eastAsia="方正小标宋简体" w:cs="方正小标宋简体"/>
          <w:color w:val="000000"/>
          <w:sz w:val="44"/>
          <w:szCs w:val="44"/>
        </w:rPr>
      </w:pPr>
      <w:r>
        <w:rPr>
          <w:rFonts w:hint="eastAsia" w:ascii="方正小标宋简体" w:hAnsi="Times New Roman" w:eastAsia="方正小标宋简体" w:cs="方正小标宋简体"/>
          <w:color w:val="000000"/>
          <w:sz w:val="44"/>
          <w:szCs w:val="44"/>
          <w:lang w:bidi="ar"/>
        </w:rPr>
        <w:t>2024年度单位预算信息公开</w:t>
      </w:r>
    </w:p>
    <w:p>
      <w:pPr>
        <w:spacing w:line="240" w:lineRule="exact"/>
        <w:jc w:val="center"/>
        <w:rPr>
          <w:rFonts w:ascii="方正小标宋简体" w:hAnsi="Times New Roman" w:eastAsia="方正小标宋简体" w:cs="方正小标宋简体"/>
          <w:color w:val="000000"/>
          <w:sz w:val="32"/>
          <w:szCs w:val="32"/>
        </w:rPr>
      </w:pPr>
    </w:p>
    <w:p>
      <w:pPr>
        <w:spacing w:line="560" w:lineRule="exact"/>
        <w:jc w:val="center"/>
        <w:rPr>
          <w:rFonts w:ascii="方正小标宋简体" w:hAnsi="Times New Roman" w:eastAsia="方正小标宋简体" w:cs="方正小标宋简体"/>
          <w:color w:val="000000"/>
          <w:sz w:val="32"/>
          <w:szCs w:val="32"/>
        </w:rPr>
      </w:pPr>
      <w:r>
        <w:rPr>
          <w:rFonts w:hint="eastAsia" w:ascii="方正小标宋简体" w:hAnsi="Times New Roman" w:eastAsia="方正小标宋简体" w:cs="方正小标宋简体"/>
          <w:color w:val="000000"/>
          <w:sz w:val="32"/>
          <w:szCs w:val="32"/>
          <w:lang w:bidi="ar"/>
        </w:rPr>
        <w:t>目   录</w:t>
      </w:r>
    </w:p>
    <w:p>
      <w:pPr>
        <w:spacing w:line="240" w:lineRule="exact"/>
        <w:jc w:val="center"/>
        <w:rPr>
          <w:rFonts w:ascii="方正小标宋简体" w:hAnsi="Times New Roman" w:eastAsia="方正小标宋简体" w:cs="方正小标宋简体"/>
          <w:color w:val="000000"/>
          <w:sz w:val="32"/>
          <w:szCs w:val="32"/>
        </w:rPr>
      </w:pPr>
    </w:p>
    <w:p>
      <w:pPr>
        <w:spacing w:line="560" w:lineRule="exact"/>
        <w:rPr>
          <w:rFonts w:ascii="黑体" w:hAnsi="宋体" w:eastAsia="黑体" w:cs="黑体"/>
          <w:color w:val="000000"/>
          <w:sz w:val="32"/>
          <w:szCs w:val="32"/>
        </w:rPr>
      </w:pPr>
      <w:r>
        <w:rPr>
          <w:rFonts w:hint="eastAsia" w:ascii="黑体" w:hAnsi="宋体" w:eastAsia="黑体" w:cs="黑体"/>
          <w:color w:val="000000"/>
          <w:sz w:val="32"/>
          <w:szCs w:val="32"/>
          <w:lang w:bidi="ar"/>
        </w:rPr>
        <w:t>第一部分 2024年度单位预算情况说明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bidi="ar"/>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bidi="ar"/>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bidi="ar"/>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bidi="ar"/>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bidi="ar"/>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bidi="ar"/>
        </w:rPr>
        <w:t>六、名词解释</w:t>
      </w:r>
    </w:p>
    <w:p>
      <w:pPr>
        <w:spacing w:line="560" w:lineRule="exact"/>
        <w:rPr>
          <w:rFonts w:ascii="黑体" w:hAnsi="宋体" w:eastAsia="黑体" w:cs="黑体"/>
          <w:color w:val="000000"/>
          <w:sz w:val="32"/>
          <w:szCs w:val="32"/>
        </w:rPr>
      </w:pPr>
      <w:r>
        <w:rPr>
          <w:rFonts w:hint="eastAsia" w:ascii="黑体" w:hAnsi="宋体" w:eastAsia="黑体" w:cs="黑体"/>
          <w:color w:val="000000"/>
          <w:sz w:val="32"/>
          <w:szCs w:val="32"/>
          <w:lang w:bidi="ar"/>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bidi="ar"/>
        </w:rPr>
        <w:t xml:space="preserve">    </w:t>
      </w:r>
      <w:r>
        <w:rPr>
          <w:rFonts w:hint="eastAsia" w:ascii="仿宋_GB2312" w:hAnsi="仿宋_GB2312" w:eastAsia="仿宋_GB2312" w:cs="仿宋_GB2312"/>
          <w:color w:val="000000"/>
          <w:spacing w:val="-16"/>
          <w:kern w:val="0"/>
          <w:sz w:val="32"/>
          <w:szCs w:val="32"/>
          <w:lang w:val="zh-CN" w:bidi="ar"/>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bidi="ar"/>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bidi="ar"/>
        </w:rPr>
        <w:t>十一、财政拨款</w:t>
      </w:r>
      <w:r>
        <w:rPr>
          <w:rFonts w:hint="eastAsia" w:ascii="仿宋_GB2312" w:hAnsi="仿宋_GB2312" w:eastAsia="仿宋_GB2312" w:cs="仿宋_GB2312"/>
          <w:color w:val="000000"/>
          <w:kern w:val="0"/>
          <w:sz w:val="32"/>
          <w:szCs w:val="32"/>
          <w:lang w:val="zh-CN" w:bidi="ar"/>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bidi="ar"/>
        </w:rPr>
        <w:t>十</w:t>
      </w:r>
      <w:r>
        <w:rPr>
          <w:rFonts w:hint="eastAsia" w:ascii="仿宋_GB2312" w:hAnsi="仿宋_GB2312" w:eastAsia="仿宋_GB2312" w:cs="仿宋_GB2312"/>
          <w:color w:val="000000"/>
          <w:kern w:val="0"/>
          <w:sz w:val="32"/>
          <w:szCs w:val="32"/>
          <w:lang w:val="zh-CN" w:bidi="ar"/>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bidi="ar"/>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6"/>
          <w:szCs w:val="36"/>
        </w:rPr>
      </w:pPr>
    </w:p>
    <w:p>
      <w:pPr>
        <w:spacing w:line="560" w:lineRule="exact"/>
        <w:jc w:val="center"/>
        <w:rPr>
          <w:rFonts w:ascii="方正小标宋简体" w:hAnsi="Times New Roman" w:eastAsia="方正小标宋简体" w:cs="方正小标宋简体"/>
          <w:color w:val="000000"/>
          <w:sz w:val="32"/>
          <w:szCs w:val="32"/>
        </w:rPr>
      </w:pPr>
      <w:r>
        <w:rPr>
          <w:rFonts w:hint="eastAsia" w:ascii="方正小标宋简体" w:hAnsi="Times New Roman" w:eastAsia="方正小标宋简体" w:cs="方正小标宋简体"/>
          <w:color w:val="000000"/>
          <w:sz w:val="36"/>
          <w:szCs w:val="36"/>
          <w:lang w:bidi="ar"/>
        </w:rPr>
        <w:t>第一部分  2024年度单位预算情况说明</w:t>
      </w:r>
    </w:p>
    <w:p>
      <w:pPr>
        <w:spacing w:line="360" w:lineRule="auto"/>
        <w:rPr>
          <w:rFonts w:asci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Times New Roman" w:eastAsia="黑体" w:cs="黑体"/>
          <w:color w:val="000000"/>
          <w:sz w:val="32"/>
          <w:szCs w:val="32"/>
        </w:rPr>
      </w:pPr>
      <w:r>
        <w:rPr>
          <w:rFonts w:hint="eastAsia" w:ascii="黑体" w:hAnsi="Times New Roman" w:eastAsia="黑体" w:cs="黑体"/>
          <w:color w:val="000000"/>
          <w:sz w:val="32"/>
          <w:szCs w:val="32"/>
          <w:lang w:bidi="ar"/>
        </w:rPr>
        <w:t>一、单位情况说明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_GB2312" w:hAnsi="Times New Roman" w:eastAsia="楷体_GB2312" w:cs="楷体_GB2312"/>
          <w:color w:val="000000"/>
          <w:sz w:val="32"/>
          <w:szCs w:val="32"/>
          <w:lang w:bidi="ar"/>
        </w:rPr>
      </w:pPr>
      <w:r>
        <w:rPr>
          <w:rFonts w:hint="eastAsia" w:ascii="楷体_GB2312" w:hAnsi="Times New Roman" w:eastAsia="楷体_GB2312" w:cs="楷体_GB2312"/>
          <w:color w:val="000000"/>
          <w:sz w:val="32"/>
          <w:szCs w:val="32"/>
          <w:lang w:bidi="ar"/>
        </w:rPr>
        <w:t>（一）本单位性质、职责等情况</w:t>
      </w:r>
    </w:p>
    <w:p>
      <w:pPr>
        <w:keepNext w:val="0"/>
        <w:keepLines w:val="0"/>
        <w:pageBreakBefore w:val="0"/>
        <w:kinsoku/>
        <w:wordWrap/>
        <w:overflowPunct/>
        <w:topLinePunct w:val="0"/>
        <w:autoSpaceDE/>
        <w:autoSpaceDN/>
        <w:bidi w:val="0"/>
        <w:adjustRightInd/>
        <w:snapToGrid/>
        <w:spacing w:line="560" w:lineRule="exact"/>
        <w:ind w:firstLine="640"/>
        <w:jc w:val="left"/>
        <w:textAlignment w:val="auto"/>
      </w:pP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eastAsia="仿宋_GB2312"/>
          <w:sz w:val="32"/>
          <w:szCs w:val="32"/>
        </w:rPr>
        <w:t>是公益一类事业单位，主要职责</w:t>
      </w:r>
      <w:r>
        <w:rPr>
          <w:rFonts w:hint="eastAsia" w:ascii="仿宋_GB2312" w:eastAsia="仿宋_GB2312"/>
          <w:sz w:val="32"/>
          <w:szCs w:val="32"/>
          <w:lang w:val="en-US" w:eastAsia="zh-CN"/>
        </w:rPr>
        <w:t>为</w:t>
      </w:r>
      <w:r>
        <w:rPr>
          <w:rFonts w:ascii="仿宋_GB2312" w:eastAsia="仿宋_GB2312"/>
          <w:color w:val="000000"/>
          <w:sz w:val="32"/>
          <w:szCs w:val="32"/>
        </w:rPr>
        <w:t>承担本市数字教育相关工作，开展办学条件、实验室与图书装备研究。坚持创新发展理念，推进教育新型基础设施建设，做好支撑保障与服务，整合优质教育教学资源，探索互联网加教育新模式，推动信息技术与教育教学融合创新，包括：开展数字教育技术、新时代办学条件装备的规划研究、标准建设及业务推进工作；统筹市级教育信息系统建设、管理、应用及数据服务等工作；承担市级教育专网、北京市教育云等新型基础设施建设及管理工作；承担市教委网络安全保障工作，指导市教委所属教育单位及区教委开展网络安全相关工作；承担教育两委电子政务技术支持及服务保障工作；负责信息技术与教育教学融合创新、教育新装备评估论证及示范推广；统筹全市教育系统数字教育资源建设、管理、应用及服务等工作；负责全市教育系统教育技术培训及服务支持工作，推动信息技术、装备应用及实验教学专业能力提升；开展办学条件、中小学实验室、专用教室、图书馆装备研究与推广，运用信息化手段进行装备统计分析、使用绩效监测等工作；完成教育两委交办的其它工作。</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楷体_GB2312" w:hAnsi="Times New Roman" w:eastAsia="楷体_GB2312" w:cs="楷体_GB2312"/>
          <w:color w:val="000000"/>
          <w:sz w:val="32"/>
          <w:szCs w:val="32"/>
          <w:lang w:bidi="ar"/>
        </w:rPr>
      </w:pPr>
      <w:r>
        <w:rPr>
          <w:rFonts w:hint="eastAsia" w:ascii="楷体_GB2312" w:hAnsi="Times New Roman" w:eastAsia="楷体_GB2312" w:cs="楷体_GB2312"/>
          <w:color w:val="000000"/>
          <w:sz w:val="32"/>
          <w:szCs w:val="32"/>
          <w:lang w:bidi="ar"/>
        </w:rPr>
        <w:t>机构设置情况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hAnsi="Times New Roman" w:eastAsia="仿宋_GB2312" w:cs="Droid Sans"/>
          <w:sz w:val="32"/>
          <w:szCs w:val="32"/>
        </w:rPr>
      </w:pPr>
      <w:r>
        <w:rPr>
          <w:rFonts w:hint="eastAsia" w:ascii="仿宋_GB2312" w:eastAsia="仿宋_GB2312" w:cs="Droid Sans"/>
          <w:sz w:val="32"/>
          <w:szCs w:val="32"/>
        </w:rPr>
        <w:t>北京市数字教育中心（北京电化教育馆）</w:t>
      </w:r>
      <w:r>
        <w:rPr>
          <w:rFonts w:hint="eastAsia" w:ascii="仿宋_GB2312" w:hAnsi="Times New Roman" w:eastAsia="仿宋_GB2312" w:cs="Droid Sans"/>
          <w:sz w:val="32"/>
          <w:szCs w:val="32"/>
        </w:rPr>
        <w:t>内设13个机构，分别为：党政办公室、数字教育研究推广部、资源建设与服务部、系统建设部、数据服务部、运行保障部、项目管理部、装备标准部、装备应用部、网络安全部、业务支持部、财务管理部、后勤服务部。</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color w:val="000000"/>
          <w:sz w:val="32"/>
          <w:szCs w:val="32"/>
        </w:rPr>
      </w:pPr>
      <w:r>
        <w:rPr>
          <w:rFonts w:hint="eastAsia" w:ascii="楷体_GB2312" w:hAnsi="Times New Roman" w:eastAsia="楷体_GB2312" w:cs="楷体_GB2312"/>
          <w:color w:val="000000"/>
          <w:sz w:val="32"/>
          <w:szCs w:val="32"/>
          <w:lang w:bidi="ar"/>
        </w:rPr>
        <w:t>（三）人员编制及实有情况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eastAsia="仿宋_GB2312"/>
          <w:color w:val="000000"/>
          <w:sz w:val="32"/>
          <w:szCs w:val="32"/>
        </w:rPr>
        <w:t>行政编制0人，实际0人；</w:t>
      </w:r>
      <w:r>
        <w:rPr>
          <w:rFonts w:hint="eastAsia" w:ascii="仿宋_GB2312" w:hAnsi="Times New Roman" w:eastAsia="仿宋_GB2312" w:cs="仿宋_GB2312"/>
          <w:color w:val="000000"/>
          <w:sz w:val="32"/>
          <w:szCs w:val="32"/>
          <w:lang w:bidi="ar"/>
        </w:rPr>
        <w:t>事业编制105人，实际82人；聘用人员（其他聘用人员--临时工）4人。</w:t>
      </w:r>
      <w:r>
        <w:rPr>
          <w:rFonts w:ascii="仿宋_GB2312" w:eastAsia="仿宋_GB2312"/>
          <w:color w:val="000000"/>
          <w:sz w:val="32"/>
          <w:szCs w:val="32"/>
        </w:rPr>
        <w:t>离退休</w:t>
      </w:r>
      <w:r>
        <w:rPr>
          <w:rFonts w:hint="eastAsia" w:ascii="仿宋_GB2312" w:eastAsia="仿宋_GB2312"/>
          <w:color w:val="000000"/>
          <w:sz w:val="32"/>
          <w:szCs w:val="32"/>
        </w:rPr>
        <w:t>人员91</w:t>
      </w:r>
      <w:r>
        <w:rPr>
          <w:rFonts w:ascii="仿宋_GB2312" w:eastAsia="仿宋_GB2312"/>
          <w:color w:val="000000"/>
          <w:sz w:val="32"/>
          <w:szCs w:val="32"/>
        </w:rPr>
        <w:t>人，其中：离休1人，退休</w:t>
      </w:r>
      <w:r>
        <w:rPr>
          <w:rFonts w:hint="eastAsia" w:ascii="仿宋_GB2312" w:eastAsia="仿宋_GB2312"/>
          <w:color w:val="000000"/>
          <w:sz w:val="32"/>
          <w:szCs w:val="32"/>
        </w:rPr>
        <w:t>90</w:t>
      </w:r>
      <w:r>
        <w:rPr>
          <w:rFonts w:ascii="仿宋_GB2312" w:eastAsia="仿宋_GB2312"/>
          <w:color w:val="000000"/>
          <w:sz w:val="32"/>
          <w:szCs w:val="32"/>
        </w:rPr>
        <w:t>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Times New Roman" w:eastAsia="黑体" w:cs="黑体"/>
          <w:color w:val="000000"/>
          <w:sz w:val="32"/>
          <w:szCs w:val="32"/>
        </w:rPr>
      </w:pPr>
      <w:r>
        <w:rPr>
          <w:rFonts w:hint="eastAsia" w:ascii="黑体" w:hAnsi="Times New Roman" w:eastAsia="黑体" w:cs="黑体"/>
          <w:color w:val="000000"/>
          <w:sz w:val="32"/>
          <w:szCs w:val="32"/>
          <w:lang w:bidi="ar"/>
        </w:rPr>
        <w:t>二、收入预算情况说明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Times New Roman" w:eastAsia="仿宋_GB2312" w:cs="仿宋_GB2312"/>
          <w:sz w:val="32"/>
          <w:szCs w:val="32"/>
          <w:lang w:bidi="ar"/>
        </w:rPr>
        <w:t>2024年度收入预算13749.19万元，比2023年年初预算数</w:t>
      </w:r>
      <w:r>
        <w:rPr>
          <w:rFonts w:hint="eastAsia" w:ascii="仿宋_GB2312" w:eastAsia="仿宋_GB2312"/>
          <w:sz w:val="32"/>
          <w:szCs w:val="32"/>
        </w:rPr>
        <w:t>14413.17</w:t>
      </w:r>
      <w:r>
        <w:rPr>
          <w:rFonts w:hint="eastAsia" w:ascii="仿宋_GB2312" w:hAnsi="Times New Roman" w:eastAsia="仿宋_GB2312" w:cs="仿宋_GB2312"/>
          <w:sz w:val="32"/>
          <w:szCs w:val="32"/>
          <w:lang w:bidi="ar"/>
        </w:rPr>
        <w:t>万元减少663.98万元，下降4.61%。主要原因是</w:t>
      </w:r>
      <w:r>
        <w:rPr>
          <w:rFonts w:hint="eastAsia" w:ascii="仿宋_GB2312" w:eastAsia="仿宋_GB2312"/>
          <w:color w:val="000000" w:themeColor="text1"/>
          <w:sz w:val="32"/>
          <w:szCs w:val="32"/>
          <w14:textFill>
            <w14:solidFill>
              <w14:schemeClr w14:val="tx1"/>
            </w14:solidFill>
          </w14:textFill>
        </w:rPr>
        <w:t>根据事业发展规划</w:t>
      </w:r>
      <w:r>
        <w:rPr>
          <w:rFonts w:hint="eastAsia" w:ascii="仿宋_GB2312" w:eastAsia="仿宋_GB2312"/>
          <w:color w:val="000000" w:themeColor="text1"/>
          <w:sz w:val="32"/>
          <w:szCs w:val="32"/>
          <w:lang w:eastAsia="zh-CN"/>
          <w14:textFill>
            <w14:solidFill>
              <w14:schemeClr w14:val="tx1"/>
            </w14:solidFill>
          </w14:textFill>
        </w:rPr>
        <w:t>减少</w:t>
      </w:r>
      <w:r>
        <w:rPr>
          <w:rFonts w:hint="eastAsia" w:ascii="仿宋_GB2312" w:eastAsia="仿宋_GB2312"/>
          <w:color w:val="000000" w:themeColor="text1"/>
          <w:sz w:val="32"/>
          <w:szCs w:val="32"/>
          <w14:textFill>
            <w14:solidFill>
              <w14:schemeClr w14:val="tx1"/>
            </w14:solidFill>
          </w14:textFill>
        </w:rPr>
        <w:t>项目安排。</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（一）本年财政拨款收入13714.19万元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1.一般公共预算拨款收入13714.19万元。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2.政府性基金预算拨款收入0万元。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3.国有资本经营预算拨款收入0万元。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（二）本年其他资金收入2.</w:t>
      </w:r>
      <w:r>
        <w:rPr>
          <w:rFonts w:ascii="楷体_GB2312" w:hAnsi="Times New Roman" w:eastAsia="楷体_GB2312" w:cs="楷体_GB2312"/>
          <w:sz w:val="32"/>
          <w:szCs w:val="32"/>
          <w:lang w:bidi="ar"/>
        </w:rPr>
        <w:t>00</w:t>
      </w:r>
      <w:r>
        <w:rPr>
          <w:rFonts w:hint="eastAsia" w:ascii="楷体_GB2312" w:hAnsi="Times New Roman" w:eastAsia="楷体_GB2312" w:cs="楷体_GB2312"/>
          <w:sz w:val="32"/>
          <w:szCs w:val="32"/>
          <w:lang w:bidi="ar"/>
        </w:rPr>
        <w:t>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4.财政专户管理资金收入0万元。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5.事业收入0万元。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6.上级补助收入0万元。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7.附属单位上缴收入0万元。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8.事业单位经营收入0万元。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9.其他收入2.00万元。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（三）上年结转结余33.00万元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10.上年结转结余33.00万元。</w:t>
      </w:r>
    </w:p>
    <w:p>
      <w:pPr>
        <w:pStyle w:val="2"/>
        <w:widowControl/>
        <w:jc w:val="center"/>
      </w:pPr>
      <w:r>
        <w:drawing>
          <wp:inline distT="0" distB="0" distL="0" distR="0">
            <wp:extent cx="4679950" cy="2959100"/>
            <wp:effectExtent l="0" t="0" r="6350" b="12700"/>
            <wp:docPr id="6455710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pStyle w:val="2"/>
        <w:widowControl/>
        <w:jc w:val="center"/>
        <w:rPr>
          <w:rFonts w:ascii="仿宋_GB2312" w:eastAsia="仿宋_GB2312" w:cs="仿宋_GB2312"/>
          <w:b w:val="0"/>
          <w:bCs w:val="0"/>
        </w:rPr>
      </w:pPr>
      <w:r>
        <w:rPr>
          <w:rFonts w:hint="eastAsia" w:ascii="仿宋_GB2312" w:eastAsia="仿宋_GB2312" w:cs="仿宋_GB2312"/>
        </w:rPr>
        <w:t>图1：收入预算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Times New Roman" w:eastAsia="黑体" w:cs="黑体"/>
          <w:sz w:val="32"/>
          <w:szCs w:val="32"/>
        </w:rPr>
      </w:pPr>
      <w:r>
        <w:rPr>
          <w:rFonts w:hint="eastAsia" w:ascii="黑体" w:hAnsi="Times New Roman" w:eastAsia="黑体" w:cs="黑体"/>
          <w:sz w:val="32"/>
          <w:szCs w:val="32"/>
          <w:lang w:bidi="ar"/>
        </w:rPr>
        <w:t>三、支出预算情况说明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Times New Roman" w:eastAsia="仿宋_GB2312" w:cs="仿宋_GB2312"/>
          <w:sz w:val="32"/>
          <w:szCs w:val="32"/>
          <w:lang w:bidi="ar"/>
        </w:rPr>
        <w:t>2024年支出预算13749.19万元，比2023年年初预算数</w:t>
      </w:r>
      <w:r>
        <w:rPr>
          <w:rFonts w:hint="eastAsia" w:ascii="仿宋_GB2312" w:eastAsia="仿宋_GB2312"/>
          <w:sz w:val="32"/>
          <w:szCs w:val="32"/>
        </w:rPr>
        <w:t>14413.17</w:t>
      </w:r>
      <w:r>
        <w:rPr>
          <w:rFonts w:hint="eastAsia" w:ascii="仿宋_GB2312" w:hAnsi="Times New Roman" w:eastAsia="仿宋_GB2312" w:cs="仿宋_GB2312"/>
          <w:sz w:val="32"/>
          <w:szCs w:val="32"/>
          <w:lang w:bidi="ar"/>
        </w:rPr>
        <w:t>万元减少663.98万元，下降4.61%。主要原因是</w:t>
      </w:r>
      <w:r>
        <w:rPr>
          <w:rFonts w:hint="eastAsia" w:ascii="仿宋_GB2312" w:eastAsia="仿宋_GB2312"/>
          <w:color w:val="000000" w:themeColor="text1"/>
          <w:sz w:val="32"/>
          <w:szCs w:val="32"/>
          <w14:textFill>
            <w14:solidFill>
              <w14:schemeClr w14:val="tx1"/>
            </w14:solidFill>
          </w14:textFill>
        </w:rPr>
        <w:t>根据事业发展规划</w:t>
      </w:r>
      <w:r>
        <w:rPr>
          <w:rFonts w:hint="eastAsia" w:ascii="仿宋_GB2312" w:eastAsia="仿宋_GB2312"/>
          <w:color w:val="000000" w:themeColor="text1"/>
          <w:sz w:val="32"/>
          <w:szCs w:val="32"/>
          <w:lang w:eastAsia="zh-CN"/>
          <w14:textFill>
            <w14:solidFill>
              <w14:schemeClr w14:val="tx1"/>
            </w14:solidFill>
          </w14:textFill>
        </w:rPr>
        <w:t>减少</w:t>
      </w:r>
      <w:bookmarkStart w:id="0" w:name="_GoBack"/>
      <w:bookmarkEnd w:id="0"/>
      <w:r>
        <w:rPr>
          <w:rFonts w:hint="eastAsia" w:ascii="仿宋_GB2312" w:eastAsia="仿宋_GB2312"/>
          <w:color w:val="000000" w:themeColor="text1"/>
          <w:sz w:val="32"/>
          <w:szCs w:val="32"/>
          <w14:textFill>
            <w14:solidFill>
              <w14:schemeClr w14:val="tx1"/>
            </w14:solidFill>
          </w14:textFill>
        </w:rPr>
        <w:t>项目安排。</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_GB2312"/>
          <w:sz w:val="32"/>
          <w:szCs w:val="32"/>
        </w:rPr>
      </w:pPr>
      <w:r>
        <w:rPr>
          <w:rFonts w:hint="eastAsia" w:ascii="楷体_GB2312" w:hAnsi="楷体_GB2312" w:eastAsia="楷体_GB2312" w:cs="楷体_GB2312"/>
          <w:sz w:val="32"/>
          <w:szCs w:val="32"/>
          <w:lang w:bidi="ar"/>
        </w:rPr>
        <w:t>（一）基本支出。</w:t>
      </w:r>
      <w:r>
        <w:rPr>
          <w:rFonts w:hint="eastAsia" w:ascii="仿宋_GB2312" w:hAnsi="Times New Roman" w:eastAsia="仿宋_GB2312" w:cs="仿宋_GB2312"/>
          <w:sz w:val="32"/>
          <w:szCs w:val="32"/>
          <w:lang w:bidi="ar"/>
        </w:rPr>
        <w:t>基本支出预算3436.57万元，占总支出预算24.99%，比2023年年初预算数3450.25万元减少13.68万元，下降0.40%。</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_GB2312"/>
          <w:sz w:val="32"/>
          <w:szCs w:val="32"/>
        </w:rPr>
      </w:pPr>
      <w:r>
        <w:rPr>
          <w:rFonts w:hint="eastAsia" w:ascii="楷体_GB2312" w:hAnsi="楷体_GB2312" w:eastAsia="楷体_GB2312" w:cs="楷体_GB2312"/>
          <w:sz w:val="32"/>
          <w:szCs w:val="32"/>
          <w:lang w:bidi="ar"/>
        </w:rPr>
        <w:t>（二）项目支出。</w:t>
      </w:r>
      <w:r>
        <w:rPr>
          <w:rFonts w:hint="eastAsia" w:ascii="仿宋_GB2312" w:hAnsi="Times New Roman" w:eastAsia="仿宋_GB2312" w:cs="仿宋_GB2312"/>
          <w:sz w:val="32"/>
          <w:szCs w:val="32"/>
          <w:lang w:bidi="ar"/>
        </w:rPr>
        <w:t>项目支出预算10312.62万元，比2023年年初预算数</w:t>
      </w:r>
      <w:r>
        <w:rPr>
          <w:rFonts w:hint="eastAsia" w:ascii="仿宋_GB2312" w:eastAsia="仿宋_GB2312"/>
          <w:sz w:val="32"/>
          <w:szCs w:val="32"/>
        </w:rPr>
        <w:t>10962.92</w:t>
      </w:r>
      <w:r>
        <w:rPr>
          <w:rFonts w:hint="eastAsia" w:ascii="仿宋_GB2312" w:hAnsi="Times New Roman" w:eastAsia="仿宋_GB2312" w:cs="仿宋_GB2312"/>
          <w:sz w:val="32"/>
          <w:szCs w:val="32"/>
          <w:lang w:bidi="ar"/>
        </w:rPr>
        <w:t>万元减少650.30万元，下降5.93%。其中：</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1.事业单位经营支出0万元。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2.上缴上级支出0万元。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3.对附属单位补助支出0万元。</w:t>
      </w:r>
    </w:p>
    <w:p>
      <w:pPr>
        <w:pStyle w:val="2"/>
        <w:widowControl/>
        <w:ind w:firstLine="642"/>
        <w:jc w:val="center"/>
      </w:pPr>
      <w:r>
        <w:rPr>
          <w:rFonts w:hint="eastAsia" w:eastAsia="仿宋_GB2312"/>
        </w:rPr>
        <w:drawing>
          <wp:inline distT="0" distB="0" distL="114300" distR="114300">
            <wp:extent cx="5080000" cy="3810000"/>
            <wp:effectExtent l="4445" t="4445" r="20955" b="146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widowControl/>
        <w:ind w:firstLine="642"/>
        <w:jc w:val="center"/>
      </w:pPr>
      <w:r>
        <w:rPr>
          <w:rFonts w:hint="eastAsia" w:ascii="仿宋_GB2312" w:eastAsia="仿宋_GB2312" w:cs="仿宋_GB2312"/>
        </w:rPr>
        <w:t>图2：基本支出和项目支出情况</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bidi="ar"/>
        </w:rPr>
        <w:t>年终结转结余资金0万元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Times New Roman" w:eastAsia="黑体" w:cs="黑体"/>
          <w:sz w:val="32"/>
          <w:szCs w:val="32"/>
        </w:rPr>
      </w:pPr>
      <w:r>
        <w:rPr>
          <w:rFonts w:hint="eastAsia" w:ascii="黑体" w:hAnsi="Times New Roman" w:eastAsia="黑体" w:cs="黑体"/>
          <w:sz w:val="32"/>
          <w:szCs w:val="32"/>
          <w:lang w:bidi="ar"/>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hAnsi="Times New Roman" w:eastAsia="仿宋_GB2312" w:cs="仿宋_GB2312"/>
          <w:sz w:val="32"/>
          <w:szCs w:val="32"/>
          <w:lang w:bidi="ar"/>
        </w:rPr>
        <w:t>因公出国（境）费用、公务接待费、公务用车购置和运行维护费开支单位包括1个所属单位。其他所属单位2024年无财政拨款安排的“三公”经费预算。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（二）财政拨款“三公”经费预算情况说明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2024年财政拨款“三公”经费预算2.75万元，比2023年财政拨款“三公”经费预算减少4.74万元。其中：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1.因公出国（境）费用。2024年预算数0万元，与2023年持平。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2.公务接待费。2024年预算数2.00万元，比2023年年初预算数4.99万元减少2.99万元，主要原因：落实政府“过紧日子”要求，进一步压减一般性支出</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3.公务用车购置和运行维护费。2024年预算数0.75万元，包括：公务用车购置费2024年预算数0万元，与2023年持平；公务用车运行维护费2024年预算数0.75万元，其中：公务用车燃油0.13万元，公务用车维修0.28万元，公务用车保险0.25万元，其他支出0.09万元。公务用车运行维护费2024年预算数比2023年年初预算数2.50万元减少1.75万元，主要原因：</w:t>
      </w:r>
      <w:r>
        <w:rPr>
          <w:rFonts w:hint="eastAsia" w:ascii="仿宋_GB2312" w:eastAsia="仿宋_GB2312"/>
          <w:sz w:val="32"/>
          <w:szCs w:val="32"/>
        </w:rPr>
        <w:t>落实政府“过紧日子”要求，进一步压减一般性支出。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Times New Roman" w:eastAsia="黑体" w:cs="黑体"/>
          <w:sz w:val="32"/>
          <w:szCs w:val="32"/>
        </w:rPr>
      </w:pPr>
      <w:r>
        <w:rPr>
          <w:rFonts w:hint="eastAsia" w:ascii="黑体" w:hAnsi="Times New Roman" w:eastAsia="黑体" w:cs="黑体"/>
          <w:sz w:val="32"/>
          <w:szCs w:val="32"/>
          <w:lang w:bidi="ar"/>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2024年</w:t>
      </w: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hAnsi="Times New Roman" w:eastAsia="仿宋_GB2312" w:cs="仿宋_GB2312"/>
          <w:sz w:val="32"/>
          <w:szCs w:val="32"/>
          <w:lang w:bidi="ar"/>
        </w:rPr>
        <w:t>政府采购预算总额9215.74万元，其中：政府采购货物预算844.24万元，政府采购工程预算139.40万元，政府采购服务预算8232.10万元。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z w:val="32"/>
          <w:szCs w:val="32"/>
        </w:rPr>
      </w:pPr>
      <w:r>
        <w:rPr>
          <w:rFonts w:hint="eastAsia" w:ascii="仿宋_GB2312" w:eastAsia="仿宋_GB2312"/>
          <w:sz w:val="32"/>
          <w:szCs w:val="32"/>
        </w:rPr>
        <w:t>2024年北京市数字教育中心</w:t>
      </w:r>
      <w:r>
        <w:rPr>
          <w:rFonts w:ascii="仿宋_GB2312" w:eastAsia="仿宋_GB2312"/>
          <w:color w:val="000000"/>
          <w:sz w:val="32"/>
          <w:szCs w:val="32"/>
        </w:rPr>
        <w:t>（北京电化教育馆）</w:t>
      </w:r>
      <w:r>
        <w:rPr>
          <w:rFonts w:hint="eastAsia" w:ascii="仿宋_GB2312" w:eastAsia="仿宋_GB2312"/>
          <w:sz w:val="32"/>
          <w:szCs w:val="32"/>
        </w:rPr>
        <w:t>政府购买服务预算总额0万元。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hAnsi="Times New Roman" w:eastAsia="仿宋_GB2312" w:cs="仿宋_GB2312"/>
          <w:sz w:val="32"/>
          <w:szCs w:val="32"/>
          <w:lang w:bidi="ar"/>
        </w:rPr>
        <w:t>2024年，</w:t>
      </w: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hAnsi="Times New Roman" w:eastAsia="仿宋_GB2312" w:cs="仿宋_GB2312"/>
          <w:sz w:val="32"/>
          <w:szCs w:val="32"/>
          <w:lang w:bidi="ar"/>
        </w:rPr>
        <w:t>填报绩效目标的预算项目26个，占本单位本年预算项目26个的100%。填报绩效目标的项目支出预算10312.62万元，占本单位本年项目支出预算的100%。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本单位2024年无重点行政事业性收费。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sz w:val="32"/>
          <w:szCs w:val="32"/>
        </w:rPr>
      </w:pPr>
      <w:r>
        <w:rPr>
          <w:rFonts w:hint="eastAsia" w:ascii="楷体_GB2312" w:hAnsi="Times New Roman" w:eastAsia="楷体_GB2312" w:cs="楷体_GB2312"/>
          <w:sz w:val="32"/>
          <w:szCs w:val="32"/>
          <w:lang w:bidi="ar"/>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本单位2024年无国有资本经营预算财政拨款安排的预算。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s="楷体_GB2312"/>
          <w:color w:val="000000"/>
          <w:sz w:val="32"/>
          <w:szCs w:val="32"/>
        </w:rPr>
      </w:pPr>
      <w:r>
        <w:rPr>
          <w:rFonts w:hint="eastAsia" w:ascii="楷体_GB2312" w:hAnsi="Times New Roman" w:eastAsia="楷体_GB2312" w:cs="楷体_GB2312"/>
          <w:color w:val="000000"/>
          <w:sz w:val="32"/>
          <w:szCs w:val="32"/>
          <w:lang w:bidi="ar"/>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z w:val="32"/>
          <w:szCs w:val="32"/>
        </w:rPr>
      </w:pPr>
      <w:r>
        <w:rPr>
          <w:rFonts w:hint="eastAsia" w:ascii="仿宋_GB2312" w:hAnsi="Times New Roman" w:eastAsia="仿宋_GB2312" w:cs="仿宋_GB2312"/>
          <w:color w:val="000000"/>
          <w:sz w:val="32"/>
          <w:szCs w:val="32"/>
          <w:lang w:bidi="ar"/>
        </w:rPr>
        <w:t>截至2023年底，</w:t>
      </w: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hAnsi="Times New Roman" w:eastAsia="仿宋_GB2312" w:cs="仿宋_GB2312"/>
          <w:color w:val="000000"/>
          <w:sz w:val="32"/>
          <w:szCs w:val="32"/>
          <w:lang w:bidi="ar"/>
        </w:rPr>
        <w:t>共有车辆1台，共计15.92万元；单位价值50万元以上的设备</w:t>
      </w:r>
      <w:r>
        <w:rPr>
          <w:rFonts w:hint="eastAsia" w:ascii="仿宋_GB2312" w:eastAsia="仿宋_GB2312"/>
          <w:color w:val="000000"/>
          <w:sz w:val="32"/>
          <w:szCs w:val="32"/>
        </w:rPr>
        <w:t>86</w:t>
      </w:r>
      <w:r>
        <w:rPr>
          <w:rFonts w:hint="eastAsia" w:ascii="仿宋_GB2312" w:hAnsi="Times New Roman" w:eastAsia="仿宋_GB2312" w:cs="仿宋_GB2312"/>
          <w:color w:val="000000"/>
          <w:sz w:val="32"/>
          <w:szCs w:val="32"/>
          <w:lang w:bidi="ar"/>
        </w:rPr>
        <w:t>台（套）、共计</w:t>
      </w:r>
      <w:r>
        <w:rPr>
          <w:rFonts w:hint="eastAsia" w:ascii="仿宋_GB2312" w:eastAsia="仿宋_GB2312"/>
          <w:color w:val="000000"/>
          <w:sz w:val="32"/>
          <w:szCs w:val="32"/>
        </w:rPr>
        <w:t>8547.01</w:t>
      </w:r>
      <w:r>
        <w:rPr>
          <w:rFonts w:hint="eastAsia" w:ascii="仿宋_GB2312" w:hAnsi="Times New Roman" w:eastAsia="仿宋_GB2312" w:cs="仿宋_GB2312"/>
          <w:color w:val="000000"/>
          <w:sz w:val="32"/>
          <w:szCs w:val="32"/>
          <w:lang w:bidi="ar"/>
        </w:rPr>
        <w:t>万元。2024年预算安排中，购置单位价值50万元以上的设备5台（套），共计1841.11万元。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pacing w:val="-2"/>
          <w:sz w:val="32"/>
          <w:szCs w:val="32"/>
        </w:rPr>
      </w:pPr>
      <w:r>
        <w:rPr>
          <w:rFonts w:hint="eastAsia" w:ascii="黑体" w:hAnsi="Times New Roman" w:eastAsia="黑体" w:cs="黑体"/>
          <w:color w:val="000000"/>
          <w:sz w:val="32"/>
          <w:szCs w:val="32"/>
          <w:lang w:bidi="ar"/>
        </w:rPr>
        <w:t>六、名词解释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z w:val="32"/>
          <w:szCs w:val="32"/>
        </w:rPr>
      </w:pPr>
      <w:r>
        <w:rPr>
          <w:rFonts w:hint="eastAsia" w:ascii="仿宋_GB2312" w:hAnsi="Times New Roman" w:eastAsia="仿宋_GB2312" w:cs="仿宋_GB2312"/>
          <w:color w:val="000000"/>
          <w:sz w:val="32"/>
          <w:szCs w:val="32"/>
          <w:lang w:bidi="ar"/>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z w:val="32"/>
          <w:szCs w:val="32"/>
        </w:rPr>
      </w:pPr>
      <w:r>
        <w:rPr>
          <w:rFonts w:hint="eastAsia" w:ascii="仿宋_GB2312" w:hAnsi="Times New Roman" w:eastAsia="仿宋_GB2312" w:cs="仿宋_GB2312"/>
          <w:color w:val="000000"/>
          <w:sz w:val="32"/>
          <w:szCs w:val="32"/>
          <w:lang w:bidi="ar"/>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z w:val="32"/>
          <w:szCs w:val="32"/>
        </w:rPr>
      </w:pPr>
      <w:r>
        <w:rPr>
          <w:rFonts w:hint="eastAsia" w:ascii="仿宋_GB2312" w:hAnsi="Times New Roman" w:eastAsia="仿宋_GB2312" w:cs="仿宋_GB2312"/>
          <w:color w:val="000000"/>
          <w:sz w:val="32"/>
          <w:szCs w:val="32"/>
          <w:lang w:bidi="ar"/>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color w:val="000000"/>
          <w:sz w:val="32"/>
          <w:szCs w:val="32"/>
        </w:rPr>
      </w:pPr>
      <w:r>
        <w:rPr>
          <w:rFonts w:hint="eastAsia" w:ascii="仿宋_GB2312" w:hAnsi="Times New Roman" w:eastAsia="仿宋_GB2312" w:cs="仿宋_GB2312"/>
          <w:color w:val="000000"/>
          <w:sz w:val="32"/>
          <w:szCs w:val="32"/>
          <w:lang w:bidi="ar"/>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both"/>
        <w:rPr>
          <w:rFonts w:hint="eastAsia" w:ascii="方正小标宋简体" w:hAnsi="Times New Roman" w:eastAsia="方正小标宋简体" w:cs="方正小标宋简体"/>
          <w:color w:val="000000"/>
          <w:sz w:val="36"/>
          <w:szCs w:val="36"/>
          <w:lang w:bidi="ar"/>
        </w:rPr>
      </w:pPr>
    </w:p>
    <w:p>
      <w:pPr>
        <w:spacing w:line="560" w:lineRule="exact"/>
        <w:jc w:val="center"/>
        <w:rPr>
          <w:rFonts w:ascii="方正小标宋简体" w:hAnsi="Times New Roman" w:eastAsia="方正小标宋简体" w:cs="方正小标宋简体"/>
          <w:color w:val="000000"/>
          <w:sz w:val="36"/>
          <w:szCs w:val="36"/>
        </w:rPr>
      </w:pPr>
      <w:r>
        <w:rPr>
          <w:rFonts w:hint="eastAsia" w:ascii="方正小标宋简体" w:hAnsi="Times New Roman" w:eastAsia="方正小标宋简体" w:cs="方正小标宋简体"/>
          <w:color w:val="000000"/>
          <w:sz w:val="36"/>
          <w:szCs w:val="36"/>
          <w:lang w:bidi="ar"/>
        </w:rPr>
        <w:t>第二部分  2024年度单位预算报表</w:t>
      </w:r>
    </w:p>
    <w:p>
      <w:pPr>
        <w:autoSpaceDE w:val="0"/>
        <w:autoSpaceDN w:val="0"/>
        <w:adjustRightInd w:val="0"/>
        <w:spacing w:line="560" w:lineRule="exact"/>
        <w:jc w:val="left"/>
        <w:rPr>
          <w:rFonts w:ascii="方正小标宋简体" w:hAnsi="Times New Roman" w:eastAsia="方正小标宋简体" w:cs="方正小标宋简体"/>
          <w:color w:val="000000"/>
          <w:sz w:val="36"/>
          <w:szCs w:val="36"/>
        </w:rPr>
      </w:pPr>
    </w:p>
    <w:p>
      <w:pPr>
        <w:spacing w:line="560" w:lineRule="exact"/>
        <w:ind w:firstLine="640" w:firstLineChars="200"/>
        <w:rPr>
          <w:rFonts w:ascii="仿宋_GB2312" w:eastAsia="仿宋_GB2312" w:cs="仿宋_GB2312"/>
          <w:color w:val="000000"/>
          <w:sz w:val="32"/>
          <w:szCs w:val="32"/>
        </w:rPr>
      </w:pPr>
      <w:r>
        <w:rPr>
          <w:rFonts w:hint="eastAsia" w:ascii="仿宋_GB2312" w:hAnsi="Times New Roman" w:eastAsia="仿宋_GB2312" w:cs="仿宋_GB2312"/>
          <w:color w:val="000000"/>
          <w:sz w:val="32"/>
          <w:szCs w:val="32"/>
          <w:lang w:bidi="ar"/>
        </w:rPr>
        <w:t>附件：</w:t>
      </w:r>
      <w:r>
        <w:rPr>
          <w:rFonts w:hint="eastAsia" w:ascii="仿宋_GB2312" w:eastAsia="仿宋_GB2312"/>
          <w:sz w:val="32"/>
          <w:szCs w:val="32"/>
        </w:rPr>
        <w:t>北京市数字教育中心</w:t>
      </w:r>
      <w:r>
        <w:rPr>
          <w:rFonts w:ascii="仿宋_GB2312" w:eastAsia="仿宋_GB2312"/>
          <w:color w:val="000000"/>
          <w:sz w:val="32"/>
          <w:szCs w:val="32"/>
        </w:rPr>
        <w:t>（北京电化教育馆）</w:t>
      </w:r>
      <w:r>
        <w:rPr>
          <w:rFonts w:hint="eastAsia" w:ascii="仿宋_GB2312" w:hAnsi="Times New Roman" w:eastAsia="仿宋_GB2312" w:cs="仿宋_GB2312"/>
          <w:color w:val="000000"/>
          <w:sz w:val="32"/>
          <w:szCs w:val="32"/>
          <w:lang w:bidi="ar"/>
        </w:rPr>
        <w:t>2024年度单位预算报表</w:t>
      </w:r>
      <w:r>
        <w:rPr>
          <w:rFonts w:hint="eastAsia" w:ascii="仿宋_GB2312" w:hAnsi="Times New Roman" w:eastAsia="仿宋_GB2312" w:cs="宋体"/>
          <w:color w:val="000000"/>
          <w:kern w:val="0"/>
          <w:sz w:val="32"/>
          <w:szCs w:val="32"/>
          <w:lang w:val="zh-CN" w:bidi="ar"/>
        </w:rPr>
        <w:t xml:space="preserve"> </w:t>
      </w:r>
    </w:p>
    <w:p/>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6DEFA"/>
    <w:multiLevelType w:val="singleLevel"/>
    <w:tmpl w:val="B4C6DEFA"/>
    <w:lvl w:ilvl="0" w:tentative="0">
      <w:start w:val="2"/>
      <w:numFmt w:val="chineseCounting"/>
      <w:suff w:val="nothing"/>
      <w:lvlText w:val="（%1）"/>
      <w:lvlJc w:val="left"/>
      <w:rPr>
        <w:rFonts w:hint="eastAsia"/>
      </w:rPr>
    </w:lvl>
  </w:abstractNum>
  <w:abstractNum w:abstractNumId="1">
    <w:nsid w:val="21000F51"/>
    <w:multiLevelType w:val="multilevel"/>
    <w:tmpl w:val="21000F51"/>
    <w:lvl w:ilvl="0" w:tentative="0">
      <w:start w:val="3"/>
      <w:numFmt w:val="chineseCounting"/>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1M2NhZTVhOGE5M2MwMmRhNzM2MzJhNzQ2ZmViMjgifQ=="/>
    <w:docVar w:name="KSO_WPS_MARK_KEY" w:val="401ddf10-dc05-4990-895a-8e5236ca4697"/>
  </w:docVars>
  <w:rsids>
    <w:rsidRoot w:val="006A4F52"/>
    <w:rsid w:val="00092287"/>
    <w:rsid w:val="001A0E59"/>
    <w:rsid w:val="004431C3"/>
    <w:rsid w:val="00492C02"/>
    <w:rsid w:val="00612CC3"/>
    <w:rsid w:val="006A14EE"/>
    <w:rsid w:val="006A4F52"/>
    <w:rsid w:val="007B6B90"/>
    <w:rsid w:val="00A95C8E"/>
    <w:rsid w:val="00D373A8"/>
    <w:rsid w:val="00E53496"/>
    <w:rsid w:val="03A763E2"/>
    <w:rsid w:val="0401641D"/>
    <w:rsid w:val="04530718"/>
    <w:rsid w:val="054B10D0"/>
    <w:rsid w:val="08D107D5"/>
    <w:rsid w:val="0A320D47"/>
    <w:rsid w:val="0BB93035"/>
    <w:rsid w:val="0C91415A"/>
    <w:rsid w:val="11FA7149"/>
    <w:rsid w:val="12AA0733"/>
    <w:rsid w:val="139E222E"/>
    <w:rsid w:val="13B54A2A"/>
    <w:rsid w:val="192A6188"/>
    <w:rsid w:val="192F6DB8"/>
    <w:rsid w:val="1A352420"/>
    <w:rsid w:val="21410532"/>
    <w:rsid w:val="23522AE4"/>
    <w:rsid w:val="25387269"/>
    <w:rsid w:val="286A466A"/>
    <w:rsid w:val="2AFA28CA"/>
    <w:rsid w:val="322D230B"/>
    <w:rsid w:val="35725E7F"/>
    <w:rsid w:val="38DC5771"/>
    <w:rsid w:val="394A64EB"/>
    <w:rsid w:val="3CFC25BA"/>
    <w:rsid w:val="3D9B7F3D"/>
    <w:rsid w:val="3EDB446B"/>
    <w:rsid w:val="3FEB29BB"/>
    <w:rsid w:val="40704E05"/>
    <w:rsid w:val="46BA58D8"/>
    <w:rsid w:val="49663AF5"/>
    <w:rsid w:val="4C107D48"/>
    <w:rsid w:val="4ECD7D53"/>
    <w:rsid w:val="504955F3"/>
    <w:rsid w:val="51271DBC"/>
    <w:rsid w:val="59B45E83"/>
    <w:rsid w:val="5B7439E9"/>
    <w:rsid w:val="5E285495"/>
    <w:rsid w:val="5F7E529D"/>
    <w:rsid w:val="624C1682"/>
    <w:rsid w:val="65BB267B"/>
    <w:rsid w:val="66B772E6"/>
    <w:rsid w:val="69B33D95"/>
    <w:rsid w:val="6B6C069F"/>
    <w:rsid w:val="6CAB194E"/>
    <w:rsid w:val="6FF46A6B"/>
    <w:rsid w:val="70870E67"/>
    <w:rsid w:val="72B017B9"/>
    <w:rsid w:val="743978F0"/>
    <w:rsid w:val="74EA489E"/>
    <w:rsid w:val="75041948"/>
    <w:rsid w:val="788472CD"/>
    <w:rsid w:val="792965F7"/>
    <w:rsid w:val="794C7D62"/>
    <w:rsid w:val="79A87885"/>
    <w:rsid w:val="7A7E3F4B"/>
    <w:rsid w:val="7CBA23C0"/>
    <w:rsid w:val="7F855D7C"/>
    <w:rsid w:val="7FE02FB2"/>
    <w:rsid w:val="8FE77A11"/>
    <w:rsid w:val="BFDFA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semiHidden/>
    <w:unhideWhenUsed/>
    <w:qFormat/>
    <w:uiPriority w:val="0"/>
    <w:pPr>
      <w:keepNext/>
      <w:keepLines/>
      <w:spacing w:before="260" w:after="260" w:line="415" w:lineRule="auto"/>
      <w:outlineLvl w:val="1"/>
    </w:pPr>
    <w:rPr>
      <w:rFonts w:ascii="Cambria" w:hAnsi="Cambria" w:eastAsia="宋体" w:cs="Times New Roman"/>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character" w:customStyle="1" w:styleId="7">
    <w:name w:val="标题 2 字符"/>
    <w:basedOn w:val="6"/>
    <w:link w:val="2"/>
    <w:qFormat/>
    <w:uiPriority w:val="0"/>
    <w:rPr>
      <w:rFonts w:hint="default" w:ascii="Cambria" w:hAnsi="Cambria" w:eastAsia="宋体" w:cs="Times New Roman"/>
      <w:b/>
      <w:bCs/>
      <w:kern w:val="2"/>
      <w:sz w:val="32"/>
      <w:szCs w:val="32"/>
    </w:rPr>
  </w:style>
  <w:style w:type="character" w:customStyle="1" w:styleId="8">
    <w:name w:val="页眉 字符"/>
    <w:basedOn w:val="6"/>
    <w:link w:val="4"/>
    <w:qFormat/>
    <w:uiPriority w:val="0"/>
    <w:rPr>
      <w:rFonts w:asciiTheme="minorHAnsi" w:hAnsiTheme="minorHAnsi" w:eastAsiaTheme="minorEastAsia" w:cstheme="minorBidi"/>
      <w:kern w:val="2"/>
      <w:sz w:val="18"/>
      <w:szCs w:val="18"/>
    </w:rPr>
  </w:style>
  <w:style w:type="character" w:customStyle="1" w:styleId="9">
    <w:name w:val="页脚 字符"/>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7"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收入预算</a:t>
            </a:r>
            <a:endParaRPr lang="zh-CN" altLang="en-US"/>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tx>
                <c:rich>
                  <a:bodyPr rot="0" spcFirstLastPara="1"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t>99.75%</a:t>
                    </a:r>
                    <a:endParaRPr lang="en-US" altLang="zh-CN"/>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manualLayout>
                  <c:x val="0.0972617016622922"/>
                  <c:y val="0.000507801108194809"/>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131013888888889"/>
                  <c:y val="-0.00872047244094488"/>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Sheet1!$A$49:$A$51</c:f>
              <c:strCache>
                <c:ptCount val="3"/>
                <c:pt idx="0">
                  <c:v>一般公共预算拨款收入</c:v>
                </c:pt>
                <c:pt idx="1">
                  <c:v>其他收入</c:v>
                </c:pt>
                <c:pt idx="2">
                  <c:v>上年结转结余</c:v>
                </c:pt>
              </c:strCache>
            </c:strRef>
          </c:cat>
          <c:val>
            <c:numRef>
              <c:f>Sheet1!$B$49:$B$51</c:f>
              <c:numCache>
                <c:formatCode>0.00%</c:formatCode>
                <c:ptCount val="3"/>
                <c:pt idx="0">
                  <c:v>0.9975</c:v>
                </c:pt>
                <c:pt idx="1">
                  <c:v>0.0001</c:v>
                </c:pt>
                <c:pt idx="2">
                  <c:v>0.0024</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0483809841396"/>
                  <c:y val="0.125617595350843"/>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sz="1200">
                        <a:latin typeface="黑体" panose="02010609060101010101" charset="-122"/>
                        <a:ea typeface="黑体" panose="02010609060101010101" charset="-122"/>
                      </a:rPr>
                      <a:t>25%</a:t>
                    </a:r>
                    <a:endParaRPr lang="en-US" altLang="zh-CN" sz="1200">
                      <a:latin typeface="黑体" panose="02010609060101010101" charset="-122"/>
                      <a:ea typeface="黑体" panose="02010609060101010101" charset="-122"/>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111713199893727"/>
                  <c:y val="-0.287637327866408"/>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sz="1200">
                        <a:latin typeface="黑体" panose="02010609060101010101" charset="-122"/>
                        <a:ea typeface="黑体" panose="02010609060101010101" charset="-122"/>
                      </a:rPr>
                      <a:t>75%</a:t>
                    </a:r>
                    <a:endParaRPr lang="en-US" altLang="zh-CN" sz="1200">
                      <a:latin typeface="黑体" panose="02010609060101010101" charset="-122"/>
                      <a:ea typeface="黑体" panose="02010609060101010101" charset="-122"/>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0.2499</c:v>
                </c:pt>
                <c:pt idx="1">
                  <c:v>0.7501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2598</Words>
  <Characters>2935</Characters>
  <Lines>21</Lines>
  <Paragraphs>6</Paragraphs>
  <TotalTime>157</TotalTime>
  <ScaleCrop>false</ScaleCrop>
  <LinksUpToDate>false</LinksUpToDate>
  <CharactersWithSpaces>2961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2024-02-28T14:41:00Z</dcterms:created>
  <dc:creator>Administrator</dc:creator>
  <cp:lastModifiedBy>uos</cp:lastModifiedBy>
  <dcterms:modified xsi:type="dcterms:W3CDTF">2024-03-11T15:50:21Z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34A48E2064204AA194CAC4EFB735D9CF_13</vt:lpwstr>
  </property>
</Properties>
</file>