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rPr>
          <w:rFonts w:ascii="仿宋_GB2312" w:hAnsi="Times New Roman" w:eastAsia="仿宋_GB2312" w:cs="Droid Sans"/>
          <w:b w:val="0"/>
          <w:bCs w:val="0"/>
          <w:color w:val="1F3864"/>
          <w:kern w:val="2"/>
          <w:sz w:val="24"/>
          <w:szCs w:val="24"/>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北京市教育资产与财务管理事务中心</w:t>
      </w:r>
    </w:p>
    <w:p>
      <w:pPr>
        <w:spacing w:line="560" w:lineRule="exact"/>
        <w:jc w:val="center"/>
        <w:rPr>
          <w:rFonts w:ascii="方正小标宋简体" w:eastAsia="方正小标宋简体"/>
          <w:color w:val="000000"/>
          <w:sz w:val="44"/>
          <w:szCs w:val="44"/>
        </w:rPr>
      </w:pPr>
      <w:bookmarkStart w:id="0" w:name="_GoBack"/>
      <w:bookmarkEnd w:id="0"/>
      <w:r>
        <w:rPr>
          <w:rFonts w:hint="eastAsia" w:ascii="方正小标宋简体" w:eastAsia="方正小标宋简体"/>
          <w:color w:val="000000"/>
          <w:sz w:val="44"/>
          <w:szCs w:val="44"/>
        </w:rPr>
        <w:t>2024年度单位预算信息公开</w:t>
      </w:r>
    </w:p>
    <w:p>
      <w:pPr>
        <w:pStyle w:val="2"/>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rPr>
          <w:rFonts w:ascii="黑体" w:eastAsia="黑体"/>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olor w:val="000000"/>
          <w:sz w:val="32"/>
          <w:szCs w:val="32"/>
        </w:rPr>
        <w:t>北京市教育资产与财务管理事务中心为公益一类事业单位，主要职责为承担本</w:t>
      </w:r>
      <w:r>
        <w:rPr>
          <w:rFonts w:hint="eastAsia" w:ascii="仿宋_GB2312" w:eastAsia="仿宋_GB2312"/>
          <w:sz w:val="32"/>
          <w:szCs w:val="32"/>
        </w:rPr>
        <w:t>市教育领域资产与财务管理、学生资助等事务工作。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北京市教育资产与财务管理事务中心内设7个机构，分别为：党政办公室、资产管理科、企业管理科、资助一科、资助二科、财务督导科、财务统计与信息化科。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仿宋_GB2312" w:eastAsia="仿宋_GB2312"/>
          <w:color w:val="000000"/>
          <w:sz w:val="32"/>
          <w:szCs w:val="32"/>
        </w:rPr>
        <w:t>北京市教育资产与财务管理事务中心行政编制0人，实际0人；事业编制35人，实际33人。离退休人员17人，其中：离休</w:t>
      </w:r>
      <w:r>
        <w:rPr>
          <w:rFonts w:ascii="仿宋_GB2312" w:eastAsia="仿宋_GB2312"/>
          <w:color w:val="000000"/>
          <w:sz w:val="32"/>
          <w:szCs w:val="32"/>
        </w:rPr>
        <w:t>0</w:t>
      </w:r>
      <w:r>
        <w:rPr>
          <w:rFonts w:hint="eastAsia" w:ascii="仿宋_GB2312" w:eastAsia="仿宋_GB2312"/>
          <w:color w:val="000000"/>
          <w:sz w:val="32"/>
          <w:szCs w:val="32"/>
        </w:rPr>
        <w:t>人，退休17人。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2024年度收入预算20814.01万元，比2023年年初预算数17380.14万元增加3433.87万元，增长19.76%。</w:t>
      </w:r>
      <w:r>
        <w:rPr>
          <w:rFonts w:hint="eastAsia" w:ascii="仿宋_GB2312" w:eastAsia="仿宋_GB2312"/>
          <w:color w:val="000000"/>
          <w:sz w:val="32"/>
          <w:szCs w:val="32"/>
        </w:rPr>
        <w:t>主要原因是</w:t>
      </w:r>
      <w:r>
        <w:rPr>
          <w:rFonts w:hint="eastAsia" w:ascii="仿宋_GB2312" w:eastAsia="仿宋_GB2312"/>
          <w:sz w:val="32"/>
          <w:szCs w:val="32"/>
        </w:rPr>
        <w:t>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（一）本年财政拨款收入20434.17万元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1.一般公共预算拨款收入20434.17万元。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（二）本年其他资金收入1.00万元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9.其他收入1.00万元。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（三）上年结转结余378.84万元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C00000"/>
          <w:sz w:val="32"/>
          <w:szCs w:val="32"/>
        </w:rPr>
      </w:pPr>
      <w:r>
        <w:rPr>
          <w:rFonts w:hint="eastAsia" w:ascii="仿宋_GB2312" w:eastAsia="仿宋_GB2312"/>
          <w:sz w:val="32"/>
          <w:szCs w:val="32"/>
        </w:rPr>
        <w:t>10.上年结转结余378.84万元。</w:t>
      </w:r>
    </w:p>
    <w:p>
      <w:pPr>
        <w:spacing w:line="560" w:lineRule="exact"/>
        <w:rPr>
          <w:rFonts w:ascii="仿宋_GB2312" w:eastAsia="仿宋_GB2312"/>
          <w:sz w:val="32"/>
          <w:szCs w:val="32"/>
        </w:rPr>
      </w:pPr>
      <w:r>
        <w:rPr>
          <w:rFonts w:ascii="仿宋_GB2312" w:eastAsia="仿宋_GB2312"/>
          <w:color w:val="000000"/>
          <w:sz w:val="32"/>
          <w:szCs w:val="32"/>
        </w:rPr>
        <w:pict>
          <v:shape id="Object 2" o:spid="_x0000_s2050" o:spt="75" type="#_x0000_t75" style="position:absolute;left:0pt;margin-left:36.45pt;margin-top:25.4pt;height:222.9pt;width:360.3pt;z-index:251659264;mso-width-relative:page;mso-height-relative:page;" o:ole="t" filled="f" o:preferrelative="t" stroked="f" coordsize="21600,21600">
            <v:path/>
            <v:fill on="f" focussize="0,0"/>
            <v:stroke on="f" joinstyle="miter"/>
            <v:imagedata r:id="rId6" o:title=""/>
            <o:lock v:ext="edit" aspectratio="t"/>
          </v:shape>
          <o:OLEObject Type="Embed" ProgID="Excel.Chart.8" ShapeID="Object 2" DrawAspect="Content" ObjectID="_1468075725" r:id="rId5">
            <o:LockedField>false</o:LockedField>
          </o:OLEObject>
        </w:pic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z w:val="32"/>
          <w:szCs w:val="32"/>
        </w:rPr>
      </w:pPr>
    </w:p>
    <w:p>
      <w:pPr>
        <w:pStyle w:val="2"/>
        <w:ind w:firstLine="321" w:firstLineChars="100"/>
        <w:rPr>
          <w:rFonts w:ascii="仿宋_GB2312" w:eastAsia="仿宋_GB2312"/>
          <w:sz w:val="32"/>
        </w:rPr>
      </w:pPr>
    </w:p>
    <w:p>
      <w:pPr>
        <w:pStyle w:val="2"/>
        <w:ind w:firstLine="3212" w:firstLineChars="1000"/>
        <w:rPr>
          <w:rFonts w:ascii="仿宋_GB2312" w:eastAsia="仿宋_GB2312"/>
          <w:color w:val="FF0000"/>
          <w:sz w:val="32"/>
        </w:rPr>
      </w:pPr>
      <w:r>
        <w:rPr>
          <w:rFonts w:hint="eastAsia" w:ascii="仿宋_GB2312" w:eastAsia="仿宋_GB2312"/>
          <w:sz w:val="32"/>
        </w:rPr>
        <w:t>图1：收入预算</w:t>
      </w:r>
    </w:p>
    <w:p/>
    <w:p>
      <w:pPr>
        <w:spacing w:line="560" w:lineRule="exact"/>
        <w:ind w:firstLine="640" w:firstLineChars="200"/>
        <w:rPr>
          <w:rFonts w:ascii="仿宋_GB2312" w:eastAsia="仿宋_GB2312"/>
          <w:color w:val="FF0000"/>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2024年支出预算20814.01万元，比2023年年初预算数17380.14万元增加3433.87万元，增长19.76%。主要原因</w:t>
      </w:r>
      <w:r>
        <w:rPr>
          <w:rFonts w:hint="eastAsia" w:ascii="仿宋_GB2312" w:eastAsia="仿宋_GB2312"/>
          <w:color w:val="000000"/>
          <w:sz w:val="32"/>
          <w:szCs w:val="32"/>
        </w:rPr>
        <w:t>是</w:t>
      </w:r>
      <w:r>
        <w:rPr>
          <w:rFonts w:hint="eastAsia" w:ascii="仿宋_GB2312" w:eastAsia="仿宋_GB2312"/>
          <w:sz w:val="32"/>
          <w:szCs w:val="32"/>
        </w:rPr>
        <w:t>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r>
        <w:rPr>
          <w:rFonts w:hint="eastAsia" w:ascii="仿宋_GB2312" w:eastAsia="仿宋_GB2312"/>
          <w:color w:val="000000"/>
          <w:sz w:val="32"/>
          <w:szCs w:val="32"/>
        </w:rPr>
        <w:t>。</w:t>
      </w:r>
    </w:p>
    <w:p>
      <w:pPr>
        <w:numPr>
          <w:ilvl w:val="0"/>
          <w:numId w:val="1"/>
        </w:num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基本支出。</w:t>
      </w:r>
      <w:r>
        <w:rPr>
          <w:rFonts w:hint="eastAsia" w:ascii="仿宋_GB2312" w:eastAsia="仿宋_GB2312"/>
          <w:sz w:val="32"/>
          <w:szCs w:val="32"/>
        </w:rPr>
        <w:t>基本支出预算1705.23万元，占总支出预算8.19%，比2023年年初预算数1248.71万元增加456.52万元，增长36.56%。</w:t>
      </w:r>
    </w:p>
    <w:p>
      <w:pPr>
        <w:numPr>
          <w:ilvl w:val="0"/>
          <w:numId w:val="1"/>
        </w:num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项目支出。</w:t>
      </w:r>
      <w:r>
        <w:rPr>
          <w:rFonts w:hint="eastAsia" w:ascii="仿宋_GB2312" w:eastAsia="仿宋_GB2312"/>
          <w:sz w:val="32"/>
          <w:szCs w:val="32"/>
        </w:rPr>
        <w:t>项目支出预算19108.78万元，比2023年年初预算数16131.43万元增加2977.35万元，增长18.46%。其中：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spacing w:line="560" w:lineRule="exact"/>
        <w:rPr>
          <w:rFonts w:ascii="仿宋_GB2312" w:eastAsia="仿宋_GB2312"/>
          <w:color w:val="C00000"/>
          <w:sz w:val="32"/>
          <w:szCs w:val="32"/>
        </w:rPr>
      </w:pPr>
    </w:p>
    <w:p>
      <w:pPr>
        <w:rPr>
          <w:rFonts w:ascii="仿宋_GB2312" w:eastAsia="仿宋_GB2312"/>
          <w:color w:val="C00000"/>
          <w:sz w:val="24"/>
        </w:rPr>
      </w:pPr>
    </w:p>
    <w:p>
      <w:pPr>
        <w:ind w:left="2157" w:leftChars="570" w:hanging="960" w:hangingChars="400"/>
        <w:rPr>
          <w:rFonts w:ascii="仿宋_GB2312" w:eastAsia="仿宋_GB2312"/>
          <w:sz w:val="32"/>
        </w:rPr>
      </w:pPr>
      <w:r>
        <w:rPr>
          <w:rFonts w:hint="eastAsia" w:ascii="仿宋_GB2312" w:eastAsia="仿宋_GB2312"/>
          <w:color w:val="C00000"/>
          <w:sz w:val="24"/>
        </w:rPr>
        <w:object>
          <v:shape id="_x0000_i1025" o:spt="75" type="#_x0000_t75" style="height:211.15pt;width:325.45pt;" o:ole="t" filled="f" o:preferrelative="t" stroked="f" coordsize="21600,21600">
            <v:path/>
            <v:fill on="f" focussize="0,0"/>
            <v:stroke on="f" joinstyle="miter"/>
            <v:imagedata r:id="rId8" o:title=""/>
            <o:lock v:ext="edit" aspectratio="t"/>
            <w10:wrap type="none"/>
            <w10:anchorlock/>
          </v:shape>
          <o:OLEObject Type="Embed" ProgID="Excel.Chart.8" ShapeID="_x0000_i1025" DrawAspect="Content" ObjectID="_1468075726" r:id="rId7">
            <o:LockedField>false</o:LockedField>
          </o:OLEObject>
        </w:object>
      </w:r>
      <w:r>
        <w:rPr>
          <w:rFonts w:hint="eastAsia" w:ascii="仿宋_GB2312" w:eastAsia="仿宋_GB2312"/>
          <w:color w:val="C00000"/>
          <w:sz w:val="24"/>
        </w:rPr>
        <w:t xml:space="preserve">   </w:t>
      </w:r>
      <w:r>
        <w:rPr>
          <w:rFonts w:hint="eastAsia" w:ascii="仿宋_GB2312" w:eastAsia="仿宋_GB2312"/>
          <w:sz w:val="32"/>
        </w:rPr>
        <w:t>图2：基本支出和项目支出情况</w:t>
      </w:r>
    </w:p>
    <w:p>
      <w:pPr>
        <w:ind w:left="2477" w:leftChars="570" w:hanging="1280" w:hangingChars="400"/>
        <w:rPr>
          <w:rFonts w:ascii="仿宋_GB2312" w:eastAsia="仿宋_GB2312"/>
          <w:sz w:val="32"/>
        </w:rPr>
      </w:pPr>
    </w:p>
    <w:p>
      <w:pPr>
        <w:ind w:left="2037" w:leftChars="570" w:hanging="840" w:hangingChars="400"/>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楷体_GB2312" w:hAnsi="楷体_GB2312" w:eastAsia="楷体_GB2312" w:cs="楷体_GB2312"/>
          <w:color w:val="000000"/>
          <w:sz w:val="32"/>
          <w:szCs w:val="32"/>
        </w:rPr>
        <w:t>(三)年终结转结余资金0万元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北京市教育资产与财务管理事务中心因公出国（境）费用、公务接待费、公务用车购置和运行维护费开支单位包括1个所属单位。其他所属单位2024年无财政拨款安排的“三公”经费预算。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2024年财政拨款“三公”经费预算2.00万元，与2023年持平。其中：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1.因公出国（境）费用。2024年预算数0万元，与2023年持平。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color w:val="000000"/>
          <w:sz w:val="32"/>
          <w:szCs w:val="32"/>
        </w:rPr>
        <w:t>2.公务接待费。2024年预算数0.30</w:t>
      </w:r>
      <w:r>
        <w:rPr>
          <w:rFonts w:hint="eastAsia" w:ascii="仿宋_GB2312" w:eastAsia="仿宋_GB2312"/>
          <w:sz w:val="32"/>
          <w:szCs w:val="32"/>
        </w:rPr>
        <w:t>万元，比2023年年初预算数0万元增加0.30万元，主要原因：根据事业发展需要</w:t>
      </w:r>
      <w:r>
        <w:rPr>
          <w:rFonts w:hint="eastAsia" w:ascii="仿宋_GB2312" w:eastAsia="仿宋_GB2312"/>
          <w:color w:val="000000" w:themeColor="text1"/>
          <w:sz w:val="32"/>
          <w:szCs w:val="32"/>
          <w14:textFill>
            <w14:solidFill>
              <w14:schemeClr w14:val="tx1"/>
            </w14:solidFill>
          </w14:textFill>
        </w:rPr>
        <w:t>增加公务接待业务。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公务用车购置和运行维护费。2024年预算数1.70万元，包括：公务用车购置费2024年预算数0万元，与2023年持平；公务用车运行维护费2024年预算数1.70万元，其中：公务用车燃油0万元，公务用车维修0.85万元，公务用车保险0.45万元，其他支出0.40万元。公务用车运行维护费2024年预算数比2023年年初预算数2.00万元减少0.30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2024年北京市教育资产与财务管理事务中心政府采购预算总额714.02万元，其中：政府采购货物预算5.00万元，政府采购工程预算0万元，政府采购服务预算709.02万元。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C00000"/>
          <w:sz w:val="24"/>
        </w:rPr>
      </w:pPr>
      <w:r>
        <w:rPr>
          <w:rFonts w:hint="eastAsia" w:ascii="仿宋_GB2312" w:eastAsia="仿宋_GB2312"/>
          <w:color w:val="000000"/>
          <w:sz w:val="32"/>
          <w:szCs w:val="32"/>
        </w:rPr>
        <w:t>2024年北京市教育资产与财务管理事务中心政府购买服务预算总额0万元。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color w:val="000000"/>
          <w:sz w:val="32"/>
          <w:szCs w:val="32"/>
        </w:rPr>
        <w:t>本单位不在机关运行经费统计范围之内。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2024年，北京市教育资产与财务管理事务中心填报绩效目标的预算项目31个，占本单位本年预算项目31个的100%。填报绩效目标的项目支出预算18803.43万元，占本单位本年项目支出预算的100%。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color w:val="1F3864"/>
          <w:sz w:val="24"/>
        </w:rPr>
      </w:pPr>
      <w:r>
        <w:rPr>
          <w:rFonts w:hint="eastAsia" w:ascii="仿宋_GB2312" w:eastAsia="仿宋_GB2312"/>
          <w:sz w:val="32"/>
          <w:szCs w:val="32"/>
        </w:rPr>
        <w:t>本单位2024年无重点行政事业性收费</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sz w:val="32"/>
          <w:szCs w:val="32"/>
        </w:rPr>
        <w:t>本单位2024年无国有资本经营预算财政拨款安排的预算。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eastAsia="仿宋_GB2312"/>
          <w:sz w:val="32"/>
          <w:szCs w:val="32"/>
        </w:rPr>
        <w:t>北京市教育资产与财务管理事务中心</w:t>
      </w:r>
      <w:r>
        <w:rPr>
          <w:rFonts w:hint="eastAsia" w:ascii="仿宋_GB2312" w:eastAsia="仿宋_GB2312"/>
          <w:color w:val="000000"/>
          <w:sz w:val="32"/>
          <w:szCs w:val="32"/>
        </w:rPr>
        <w:t>共有车辆2台，共计38.74万元；单位价值50万元以上的设备0台（套）、共计0万元。2024年预算安排中，购置单位价值50万元以上的设备1套，共计118.92万元。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ind w:firstLine="640" w:firstLineChars="200"/>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w:t>
      </w:r>
      <w:r>
        <w:rPr>
          <w:rFonts w:hint="eastAsia" w:ascii="仿宋_GB2312" w:eastAsia="仿宋_GB2312"/>
          <w:sz w:val="32"/>
          <w:szCs w:val="32"/>
        </w:rPr>
        <w:t>北京市教育资产与财务管理事务中心</w:t>
      </w:r>
      <w:r>
        <w:rPr>
          <w:rFonts w:hint="eastAsia" w:ascii="仿宋_GB2312" w:eastAsia="仿宋_GB2312"/>
          <w:color w:val="000000"/>
          <w:sz w:val="32"/>
          <w:szCs w:val="32"/>
        </w:rPr>
        <w:t>2024年度单位预算报表</w:t>
      </w:r>
    </w:p>
    <w:p>
      <w:pPr>
        <w:rPr>
          <w:rFonts w:ascii="仿宋_GB2312" w:eastAsia="仿宋_GB2312"/>
          <w:color w:val="C00000"/>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4055D7"/>
    <w:multiLevelType w:val="singleLevel"/>
    <w:tmpl w:val="924055D7"/>
    <w:lvl w:ilvl="0" w:tentative="0">
      <w:start w:val="6"/>
      <w:numFmt w:val="chineseCounting"/>
      <w:suff w:val="nothing"/>
      <w:lvlText w:val="%1、"/>
      <w:lvlJc w:val="left"/>
      <w:rPr>
        <w:rFonts w:hint="eastAsia"/>
      </w:rPr>
    </w:lvl>
  </w:abstractNum>
  <w:abstractNum w:abstractNumId="1">
    <w:nsid w:val="06C3011D"/>
    <w:multiLevelType w:val="singleLevel"/>
    <w:tmpl w:val="06C3011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5MDJkNGEzOGJhNGNiYjQyZDNjYWNlYTkxZTk4YTAifQ=="/>
  </w:docVars>
  <w:rsids>
    <w:rsidRoot w:val="00797F79"/>
    <w:rsid w:val="0008231E"/>
    <w:rsid w:val="000B36F0"/>
    <w:rsid w:val="001D0AF3"/>
    <w:rsid w:val="001E0067"/>
    <w:rsid w:val="0032325C"/>
    <w:rsid w:val="00363E89"/>
    <w:rsid w:val="004A4AD1"/>
    <w:rsid w:val="006D5291"/>
    <w:rsid w:val="006F3CD8"/>
    <w:rsid w:val="00755A2F"/>
    <w:rsid w:val="00797F79"/>
    <w:rsid w:val="008945A6"/>
    <w:rsid w:val="008A2E8D"/>
    <w:rsid w:val="00973574"/>
    <w:rsid w:val="00991160"/>
    <w:rsid w:val="009F505C"/>
    <w:rsid w:val="009F6ECC"/>
    <w:rsid w:val="00B042E3"/>
    <w:rsid w:val="00B61662"/>
    <w:rsid w:val="00D7459F"/>
    <w:rsid w:val="00D963F0"/>
    <w:rsid w:val="00E44A8F"/>
    <w:rsid w:val="00E51413"/>
    <w:rsid w:val="00F212FB"/>
    <w:rsid w:val="00FA25D1"/>
    <w:rsid w:val="01DE318D"/>
    <w:rsid w:val="0EFFF08B"/>
    <w:rsid w:val="0F4C1A30"/>
    <w:rsid w:val="1030636E"/>
    <w:rsid w:val="1556FFE7"/>
    <w:rsid w:val="17AA2E68"/>
    <w:rsid w:val="1917061F"/>
    <w:rsid w:val="1E2F585A"/>
    <w:rsid w:val="1EC57CDC"/>
    <w:rsid w:val="1FB9016F"/>
    <w:rsid w:val="1FE6D21C"/>
    <w:rsid w:val="23735A5C"/>
    <w:rsid w:val="279C0CB3"/>
    <w:rsid w:val="2F7EA178"/>
    <w:rsid w:val="2FF31CCC"/>
    <w:rsid w:val="33BF5DDC"/>
    <w:rsid w:val="37BFBFEE"/>
    <w:rsid w:val="37FD2E23"/>
    <w:rsid w:val="37FF18B9"/>
    <w:rsid w:val="39906D7F"/>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D68066"/>
    <w:rsid w:val="4E67CE40"/>
    <w:rsid w:val="4F6D150F"/>
    <w:rsid w:val="4FEE37C7"/>
    <w:rsid w:val="515B2975"/>
    <w:rsid w:val="517E78AA"/>
    <w:rsid w:val="51CC3248"/>
    <w:rsid w:val="52223236"/>
    <w:rsid w:val="53DF3E7F"/>
    <w:rsid w:val="545DF6FA"/>
    <w:rsid w:val="55D7347E"/>
    <w:rsid w:val="55DE48F6"/>
    <w:rsid w:val="57ADBE82"/>
    <w:rsid w:val="57E332DD"/>
    <w:rsid w:val="57E9CD93"/>
    <w:rsid w:val="57EB425A"/>
    <w:rsid w:val="596AEB91"/>
    <w:rsid w:val="59D7A30C"/>
    <w:rsid w:val="5BEE7D82"/>
    <w:rsid w:val="5BFC36A8"/>
    <w:rsid w:val="5F3F6230"/>
    <w:rsid w:val="5F5F35ED"/>
    <w:rsid w:val="5FB4B9F0"/>
    <w:rsid w:val="5FD532B6"/>
    <w:rsid w:val="5FD56614"/>
    <w:rsid w:val="5FE95128"/>
    <w:rsid w:val="5FFFD6B5"/>
    <w:rsid w:val="600D2A18"/>
    <w:rsid w:val="61EF6EA0"/>
    <w:rsid w:val="67BF653D"/>
    <w:rsid w:val="67F36C34"/>
    <w:rsid w:val="67FBD21B"/>
    <w:rsid w:val="69CDDFC6"/>
    <w:rsid w:val="6AFBD4E9"/>
    <w:rsid w:val="6BFE087F"/>
    <w:rsid w:val="6BFF83C2"/>
    <w:rsid w:val="6C5F4E7D"/>
    <w:rsid w:val="6D3F2E98"/>
    <w:rsid w:val="6DFE07CC"/>
    <w:rsid w:val="6DFFB2B9"/>
    <w:rsid w:val="6E961B6E"/>
    <w:rsid w:val="6ECB6C3E"/>
    <w:rsid w:val="6F3A9571"/>
    <w:rsid w:val="6FBB3183"/>
    <w:rsid w:val="6FCDA027"/>
    <w:rsid w:val="6FDC8289"/>
    <w:rsid w:val="71FF8133"/>
    <w:rsid w:val="729DB731"/>
    <w:rsid w:val="732F9AB6"/>
    <w:rsid w:val="73A5D6F8"/>
    <w:rsid w:val="74FD455A"/>
    <w:rsid w:val="75D907AF"/>
    <w:rsid w:val="763ED7FC"/>
    <w:rsid w:val="767FBCC8"/>
    <w:rsid w:val="76FE24ED"/>
    <w:rsid w:val="77773C62"/>
    <w:rsid w:val="777F4630"/>
    <w:rsid w:val="77DF7EB6"/>
    <w:rsid w:val="77FABEEF"/>
    <w:rsid w:val="785B6500"/>
    <w:rsid w:val="78F52093"/>
    <w:rsid w:val="797F48DA"/>
    <w:rsid w:val="79CFCA19"/>
    <w:rsid w:val="79F25259"/>
    <w:rsid w:val="7AEC944A"/>
    <w:rsid w:val="7B2D2677"/>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BDEA29"/>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rFonts w:cs="Times New Roman"/>
      <w:sz w:val="18"/>
      <w:szCs w:val="18"/>
    </w:rPr>
  </w:style>
  <w:style w:type="paragraph" w:styleId="5">
    <w:name w:val="footer"/>
    <w:basedOn w:val="1"/>
    <w:link w:val="11"/>
    <w:qFormat/>
    <w:uiPriority w:val="99"/>
    <w:pPr>
      <w:tabs>
        <w:tab w:val="center" w:pos="4153"/>
        <w:tab w:val="right" w:pos="8306"/>
      </w:tabs>
      <w:snapToGrid w:val="0"/>
      <w:jc w:val="left"/>
    </w:pPr>
    <w:rPr>
      <w:rFonts w:cs="Times New Roman"/>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rFonts w:cs="Times New Roman"/>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386</Words>
  <Characters>2205</Characters>
  <Lines>18</Lines>
  <Paragraphs>5</Paragraphs>
  <TotalTime>13</TotalTime>
  <ScaleCrop>false</ScaleCrop>
  <LinksUpToDate>false</LinksUpToDate>
  <CharactersWithSpaces>2586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2024-03-05T07:49:00Z</dcterms:created>
  <dc:creator>马荣丽</dc:creator>
  <cp:lastModifiedBy>18500299229</cp:lastModifiedBy>
  <cp:lastPrinted>2024-03-05T08:19:00Z</cp:lastPrinted>
  <dcterms:modified xsi:type="dcterms:W3CDTF">2024-03-11T16:44:27Z</dcterms:modified>
  <dc:title>处领导：</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FD848794E0B04160BA26D48347207796_13</vt:lpwstr>
  </property>
</Properties>
</file>