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44"/>
          <w:szCs w:val="44"/>
        </w:rPr>
      </w:pPr>
    </w:p>
    <w:p>
      <w:pPr>
        <w:spacing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北京教育融媒体中心2024年度单位预算信息公开</w:t>
      </w:r>
    </w:p>
    <w:p>
      <w:pPr>
        <w:spacing w:line="560" w:lineRule="exact"/>
        <w:jc w:val="center"/>
        <w:rPr>
          <w:rFonts w:hint="eastAsia" w:ascii="方正小标宋简体" w:eastAsia="方正小标宋简体"/>
          <w:color w:val="000000"/>
          <w:sz w:val="44"/>
          <w:szCs w:val="44"/>
        </w:rPr>
      </w:pPr>
    </w:p>
    <w:p>
      <w:pPr>
        <w:spacing w:line="240" w:lineRule="exact"/>
        <w:jc w:val="center"/>
        <w:rPr>
          <w:rFonts w:hint="eastAsia" w:ascii="方正小标宋简体" w:eastAsia="方正小标宋简体"/>
          <w:color w:val="000000"/>
          <w:sz w:val="32"/>
          <w:szCs w:val="32"/>
        </w:rPr>
      </w:pPr>
    </w:p>
    <w:p>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2"/>
          <w:szCs w:val="32"/>
        </w:rPr>
        <w:t>目   录</w:t>
      </w:r>
    </w:p>
    <w:p>
      <w:pPr>
        <w:pStyle w:val="2"/>
        <w:rPr>
          <w:color w:val="000000"/>
        </w:rPr>
      </w:pPr>
    </w:p>
    <w:p>
      <w:pPr>
        <w:spacing w:line="240" w:lineRule="exact"/>
        <w:jc w:val="center"/>
        <w:rPr>
          <w:rFonts w:hint="eastAsia" w:ascii="方正小标宋简体" w:eastAsia="方正小标宋简体"/>
          <w:color w:val="000000"/>
          <w:sz w:val="32"/>
          <w:szCs w:val="32"/>
        </w:rPr>
      </w:pPr>
    </w:p>
    <w:p>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hint="eastAsia"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kern w:val="0"/>
          <w:sz w:val="32"/>
          <w:szCs w:val="32"/>
          <w:lang w:val="zh-CN"/>
        </w:rPr>
        <w:t xml:space="preserve">二、收入总表    </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kern w:val="0"/>
          <w:sz w:val="32"/>
          <w:szCs w:val="32"/>
          <w:lang w:val="zh-CN"/>
        </w:rPr>
        <w:t>七、一般公共预算财政拨款支出表</w:t>
      </w:r>
    </w:p>
    <w:p>
      <w:pPr>
        <w:autoSpaceDE w:val="0"/>
        <w:autoSpaceDN w:val="0"/>
        <w:adjustRightInd w:val="0"/>
        <w:spacing w:line="560" w:lineRule="exact"/>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6"/>
          <w:szCs w:val="36"/>
        </w:rPr>
        <w:t>第一部分  2024年度单位预算情况说明</w:t>
      </w:r>
    </w:p>
    <w:p>
      <w:pPr>
        <w:spacing w:line="360" w:lineRule="auto"/>
        <w:rPr>
          <w:rFonts w:hint="eastAsia" w:ascii="仿宋_GB2312" w:eastAsia="仿宋_GB2312"/>
          <w:color w:val="000000"/>
          <w:sz w:val="32"/>
          <w:szCs w:val="32"/>
        </w:rPr>
      </w:pPr>
    </w:p>
    <w:p>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北京教育融媒体中心为公益二类事业单位。主要职责</w:t>
      </w:r>
      <w:r>
        <w:rPr>
          <w:rFonts w:hint="eastAsia" w:ascii="仿宋_GB2312" w:eastAsia="仿宋_GB2312"/>
          <w:color w:val="000000"/>
          <w:sz w:val="32"/>
          <w:szCs w:val="32"/>
          <w:lang w:val="en-US" w:eastAsia="zh-CN"/>
        </w:rPr>
        <w:t>为</w:t>
      </w:r>
      <w:r>
        <w:rPr>
          <w:rFonts w:hint="eastAsia" w:ascii="仿宋_GB2312" w:eastAsia="仿宋_GB2312"/>
          <w:color w:val="000000"/>
          <w:sz w:val="32"/>
          <w:szCs w:val="32"/>
        </w:rPr>
        <w:t>：</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w:t>
      </w:r>
      <w:r>
        <w:rPr>
          <w:rFonts w:ascii="仿宋_GB2312" w:eastAsia="仿宋_GB2312"/>
          <w:color w:val="000000"/>
          <w:sz w:val="32"/>
          <w:szCs w:val="32"/>
        </w:rPr>
        <w:t>.</w:t>
      </w:r>
      <w:r>
        <w:rPr>
          <w:rFonts w:hint="eastAsia" w:ascii="仿宋_GB2312" w:eastAsia="仿宋_GB2312"/>
          <w:color w:val="000000"/>
          <w:sz w:val="32"/>
          <w:szCs w:val="32"/>
        </w:rPr>
        <w:t>承担本市教育融媒体平台建设、管理、运营等技术性、事务性工作，统筹教育融媒体宣传资源，推进教育融媒体品牌建设。</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w:t>
      </w:r>
      <w:r>
        <w:rPr>
          <w:rFonts w:ascii="仿宋_GB2312" w:eastAsia="仿宋_GB2312"/>
          <w:color w:val="000000"/>
          <w:sz w:val="32"/>
          <w:szCs w:val="32"/>
        </w:rPr>
        <w:t>.</w:t>
      </w:r>
      <w:r>
        <w:rPr>
          <w:rFonts w:hint="eastAsia" w:ascii="仿宋_GB2312" w:eastAsia="仿宋_GB2312"/>
          <w:color w:val="000000"/>
          <w:sz w:val="32"/>
          <w:szCs w:val="32"/>
        </w:rPr>
        <w:t>承担本市教育网络舆情监测、研判、应对等事务性工作；承担有关新闻宣传、舆论引导、政策解读等事务性工作，建设教育公共服务信息化平台。</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3</w:t>
      </w:r>
      <w:r>
        <w:rPr>
          <w:rFonts w:ascii="仿宋_GB2312" w:eastAsia="仿宋_GB2312"/>
          <w:color w:val="000000"/>
          <w:sz w:val="32"/>
          <w:szCs w:val="32"/>
        </w:rPr>
        <w:t>.</w:t>
      </w:r>
      <w:r>
        <w:rPr>
          <w:rFonts w:hint="eastAsia" w:ascii="仿宋_GB2312" w:eastAsia="仿宋_GB2312"/>
          <w:color w:val="000000"/>
          <w:sz w:val="32"/>
          <w:szCs w:val="32"/>
        </w:rPr>
        <w:t>承担有关教育报纸、杂志、音像制品的编辑出版发行工作。</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w:t>
      </w:r>
      <w:r>
        <w:rPr>
          <w:rFonts w:ascii="仿宋_GB2312" w:eastAsia="仿宋_GB2312"/>
          <w:color w:val="000000"/>
          <w:sz w:val="32"/>
          <w:szCs w:val="32"/>
        </w:rPr>
        <w:t>.</w:t>
      </w:r>
      <w:r>
        <w:rPr>
          <w:rFonts w:hint="eastAsia" w:ascii="仿宋_GB2312" w:eastAsia="仿宋_GB2312"/>
          <w:color w:val="000000"/>
          <w:sz w:val="32"/>
          <w:szCs w:val="32"/>
        </w:rPr>
        <w:t>完成市委教育工委、市教委交办的其他任务。</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pPr>
        <w:spacing w:line="560" w:lineRule="exact"/>
        <w:ind w:firstLine="640" w:firstLineChars="200"/>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北京教育融媒体中心内设18个机构，分别为：党委办公室（纪检办公室）、行政办公室、总编室（新媒体中心）、教育服务事业部、新闻部、网络舆情部、政务融媒体部、《北京考试报》报社、《现代教育报》报社、《健康咨询报》报社、《中小学管理》编辑部、《教育科学研究》编辑部、《学前教育》编辑部、《北京教育》编辑部、《中小学信息技术教育》编辑部、财务部、人力资源部、工会。</w:t>
      </w:r>
    </w:p>
    <w:p>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（三）人员编制及实有情况</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北京教育融媒体中心行政编制0人，实际0人；事业编制154人，实际</w:t>
      </w:r>
      <w:r>
        <w:rPr>
          <w:rFonts w:ascii="仿宋_GB2312" w:eastAsia="仿宋_GB2312"/>
          <w:color w:val="000000"/>
          <w:sz w:val="32"/>
          <w:szCs w:val="32"/>
        </w:rPr>
        <w:t>116</w:t>
      </w:r>
      <w:r>
        <w:rPr>
          <w:rFonts w:hint="eastAsia" w:ascii="仿宋_GB2312" w:eastAsia="仿宋_GB2312"/>
          <w:color w:val="000000"/>
          <w:sz w:val="32"/>
          <w:szCs w:val="32"/>
        </w:rPr>
        <w:t>人；聘用人员（其他聘用人员--临时工）</w:t>
      </w:r>
      <w:r>
        <w:rPr>
          <w:rFonts w:ascii="仿宋_GB2312" w:eastAsia="仿宋_GB2312"/>
          <w:color w:val="000000"/>
          <w:sz w:val="32"/>
          <w:szCs w:val="32"/>
        </w:rPr>
        <w:t>88</w:t>
      </w:r>
      <w:r>
        <w:rPr>
          <w:rFonts w:hint="eastAsia" w:ascii="仿宋_GB2312" w:eastAsia="仿宋_GB2312"/>
          <w:color w:val="000000"/>
          <w:sz w:val="32"/>
          <w:szCs w:val="32"/>
        </w:rPr>
        <w:t>人。离退休人员</w:t>
      </w:r>
      <w:r>
        <w:rPr>
          <w:rFonts w:ascii="仿宋_GB2312" w:eastAsia="仿宋_GB2312"/>
          <w:color w:val="000000"/>
          <w:sz w:val="32"/>
          <w:szCs w:val="32"/>
        </w:rPr>
        <w:t>76</w:t>
      </w:r>
      <w:r>
        <w:rPr>
          <w:rFonts w:hint="eastAsia" w:ascii="仿宋_GB2312" w:eastAsia="仿宋_GB2312"/>
          <w:color w:val="000000"/>
          <w:sz w:val="32"/>
          <w:szCs w:val="32"/>
        </w:rPr>
        <w:t>人，其中：离休0人，退休</w:t>
      </w:r>
      <w:r>
        <w:rPr>
          <w:rFonts w:ascii="仿宋_GB2312" w:eastAsia="仿宋_GB2312"/>
          <w:color w:val="000000"/>
          <w:sz w:val="32"/>
          <w:szCs w:val="32"/>
        </w:rPr>
        <w:t>76</w:t>
      </w:r>
      <w:r>
        <w:rPr>
          <w:rFonts w:hint="eastAsia" w:ascii="仿宋_GB2312" w:eastAsia="仿宋_GB2312"/>
          <w:color w:val="000000"/>
          <w:sz w:val="32"/>
          <w:szCs w:val="32"/>
        </w:rPr>
        <w:t>人。</w:t>
      </w:r>
    </w:p>
    <w:p>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二、收入预算情况说明</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2024年度收入预算</w:t>
      </w:r>
      <w:r>
        <w:rPr>
          <w:rFonts w:ascii="仿宋_GB2312" w:eastAsia="仿宋_GB2312"/>
          <w:sz w:val="32"/>
          <w:szCs w:val="32"/>
        </w:rPr>
        <w:t>16895.50</w:t>
      </w:r>
      <w:r>
        <w:rPr>
          <w:rFonts w:hint="eastAsia" w:ascii="仿宋_GB2312" w:eastAsia="仿宋_GB2312"/>
          <w:sz w:val="32"/>
          <w:szCs w:val="32"/>
        </w:rPr>
        <w:t>万元，比2023年年初预算数</w:t>
      </w:r>
      <w:r>
        <w:rPr>
          <w:rFonts w:ascii="仿宋_GB2312" w:eastAsia="仿宋_GB2312"/>
          <w:sz w:val="32"/>
          <w:szCs w:val="32"/>
        </w:rPr>
        <w:t>13817.51</w:t>
      </w:r>
      <w:r>
        <w:rPr>
          <w:rFonts w:hint="eastAsia" w:ascii="仿宋_GB2312" w:eastAsia="仿宋_GB2312"/>
          <w:sz w:val="32"/>
          <w:szCs w:val="32"/>
        </w:rPr>
        <w:t>万元增加3</w:t>
      </w:r>
      <w:r>
        <w:rPr>
          <w:rFonts w:ascii="仿宋_GB2312" w:eastAsia="仿宋_GB2312"/>
          <w:sz w:val="32"/>
          <w:szCs w:val="32"/>
        </w:rPr>
        <w:t>077.99</w:t>
      </w:r>
      <w:r>
        <w:rPr>
          <w:rFonts w:hint="eastAsia" w:ascii="仿宋_GB2312" w:eastAsia="仿宋_GB2312"/>
          <w:sz w:val="32"/>
          <w:szCs w:val="32"/>
        </w:rPr>
        <w:t>万元，增长2</w:t>
      </w:r>
      <w:r>
        <w:rPr>
          <w:rFonts w:ascii="仿宋_GB2312" w:eastAsia="仿宋_GB2312"/>
          <w:sz w:val="32"/>
          <w:szCs w:val="32"/>
        </w:rPr>
        <w:t>2.28</w:t>
      </w:r>
      <w:r>
        <w:rPr>
          <w:rFonts w:hint="eastAsia" w:ascii="仿宋_GB2312" w:eastAsia="仿宋_GB2312"/>
          <w:sz w:val="32"/>
          <w:szCs w:val="32"/>
        </w:rPr>
        <w:t>%。主要原因是根据事业发展规划</w:t>
      </w:r>
      <w:r>
        <w:rPr>
          <w:rFonts w:hint="eastAsia" w:ascii="仿宋_GB2312" w:eastAsia="仿宋_GB2312"/>
          <w:sz w:val="32"/>
          <w:szCs w:val="32"/>
          <w:lang w:eastAsia="zh-CN"/>
        </w:rPr>
        <w:t>增加</w:t>
      </w:r>
      <w:r>
        <w:rPr>
          <w:rFonts w:hint="eastAsia" w:ascii="仿宋_GB2312" w:eastAsia="仿宋_GB2312"/>
          <w:sz w:val="32"/>
          <w:szCs w:val="32"/>
        </w:rPr>
        <w:t>预算安排。</w:t>
      </w:r>
    </w:p>
    <w:p>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（一）本年财政拨款收入</w:t>
      </w:r>
      <w:r>
        <w:rPr>
          <w:rFonts w:ascii="楷体_GB2312" w:eastAsia="楷体_GB2312"/>
          <w:sz w:val="32"/>
          <w:szCs w:val="32"/>
        </w:rPr>
        <w:t>10550.42</w:t>
      </w:r>
      <w:r>
        <w:rPr>
          <w:rFonts w:hint="eastAsia" w:ascii="楷体_GB2312" w:eastAsia="楷体_GB2312"/>
          <w:sz w:val="32"/>
          <w:szCs w:val="32"/>
        </w:rPr>
        <w:t>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1.一般公共预算拨款收入</w:t>
      </w:r>
      <w:r>
        <w:rPr>
          <w:rFonts w:ascii="仿宋_GB2312" w:eastAsia="仿宋_GB2312"/>
          <w:sz w:val="32"/>
          <w:szCs w:val="32"/>
        </w:rPr>
        <w:t>10550.42</w:t>
      </w:r>
      <w:r>
        <w:rPr>
          <w:rFonts w:hint="eastAsia" w:ascii="仿宋_GB2312" w:eastAsia="仿宋_GB2312"/>
          <w:sz w:val="32"/>
          <w:szCs w:val="32"/>
        </w:rPr>
        <w:t>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2.政府性基金预算拨款收入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3.国有资本经营预算拨款收入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（二）本年其他资金收入</w:t>
      </w:r>
      <w:r>
        <w:rPr>
          <w:rFonts w:ascii="楷体_GB2312" w:eastAsia="楷体_GB2312"/>
          <w:sz w:val="32"/>
          <w:szCs w:val="32"/>
        </w:rPr>
        <w:t>5513.80</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w:t>
      </w:r>
      <w:r>
        <w:rPr>
          <w:rFonts w:ascii="仿宋_GB2312" w:eastAsia="仿宋_GB2312"/>
          <w:sz w:val="32"/>
          <w:szCs w:val="32"/>
        </w:rPr>
        <w:t>5490.80</w:t>
      </w:r>
      <w:r>
        <w:rPr>
          <w:rFonts w:hint="eastAsia" w:ascii="仿宋_GB2312" w:eastAsia="仿宋_GB2312"/>
          <w:sz w:val="32"/>
          <w:szCs w:val="32"/>
        </w:rPr>
        <w:t>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9.其他收入</w:t>
      </w:r>
      <w:r>
        <w:rPr>
          <w:rFonts w:ascii="仿宋_GB2312" w:eastAsia="仿宋_GB2312"/>
          <w:sz w:val="32"/>
          <w:szCs w:val="32"/>
        </w:rPr>
        <w:t>23.00</w:t>
      </w:r>
      <w:r>
        <w:rPr>
          <w:rFonts w:hint="eastAsia" w:ascii="仿宋_GB2312" w:eastAsia="仿宋_GB2312"/>
          <w:sz w:val="32"/>
          <w:szCs w:val="32"/>
        </w:rPr>
        <w:t>万元。</w:t>
      </w:r>
    </w:p>
    <w:p>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（三）上年结转结余</w:t>
      </w:r>
      <w:r>
        <w:rPr>
          <w:rFonts w:ascii="楷体_GB2312" w:eastAsia="楷体_GB2312"/>
          <w:sz w:val="32"/>
          <w:szCs w:val="32"/>
        </w:rPr>
        <w:t>831.28</w:t>
      </w:r>
      <w:r>
        <w:rPr>
          <w:rFonts w:hint="eastAsia" w:ascii="楷体_GB2312" w:eastAsia="楷体_GB2312"/>
          <w:sz w:val="32"/>
          <w:szCs w:val="32"/>
        </w:rPr>
        <w:t>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10.上年结转结余</w:t>
      </w:r>
      <w:r>
        <w:rPr>
          <w:rFonts w:ascii="仿宋_GB2312" w:eastAsia="仿宋_GB2312"/>
          <w:sz w:val="32"/>
          <w:szCs w:val="32"/>
        </w:rPr>
        <w:t>831.28</w:t>
      </w:r>
      <w:r>
        <w:rPr>
          <w:rFonts w:hint="eastAsia" w:ascii="仿宋_GB2312" w:eastAsia="仿宋_GB2312"/>
          <w:sz w:val="32"/>
          <w:szCs w:val="32"/>
        </w:rPr>
        <w:t>万元。</w:t>
      </w:r>
    </w:p>
    <w:p>
      <w:pPr>
        <w:jc w:val="center"/>
      </w:pPr>
      <w:r>
        <w:drawing>
          <wp:inline distT="0" distB="0" distL="114300" distR="114300">
            <wp:extent cx="4584700" cy="2755900"/>
            <wp:effectExtent l="0" t="0" r="0" b="0"/>
            <wp:docPr id="2"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true"/>
                    </pic:cNvPicPr>
                  </pic:nvPicPr>
                  <pic:blipFill>
                    <a:blip r:embed="rId5"/>
                    <a:stretch>
                      <a:fillRect/>
                    </a:stretch>
                  </pic:blipFill>
                  <pic:spPr>
                    <a:xfrm>
                      <a:off x="0" y="0"/>
                      <a:ext cx="4584700" cy="2755900"/>
                    </a:xfrm>
                    <a:prstGeom prst="rect">
                      <a:avLst/>
                    </a:prstGeom>
                    <a:noFill/>
                    <a:ln>
                      <a:noFill/>
                    </a:ln>
                  </pic:spPr>
                </pic:pic>
              </a:graphicData>
            </a:graphic>
          </wp:inline>
        </w:drawing>
      </w:r>
    </w:p>
    <w:p>
      <w:pPr>
        <w:jc w:val="center"/>
        <w:rPr>
          <w:rFonts w:hint="eastAsia"/>
        </w:rPr>
      </w:pPr>
      <w:r>
        <w:rPr>
          <w:rFonts w:hint="eastAsia" w:ascii="仿宋_GB2312" w:eastAsia="仿宋_GB2312"/>
          <w:sz w:val="32"/>
        </w:rPr>
        <w:t>图1：收入预算</w:t>
      </w:r>
    </w:p>
    <w:p>
      <w:pPr>
        <w:spacing w:line="560" w:lineRule="exact"/>
        <w:ind w:firstLine="640" w:firstLineChars="200"/>
        <w:rPr>
          <w:rFonts w:hint="eastAsia" w:ascii="黑体" w:eastAsia="黑体"/>
          <w:sz w:val="32"/>
          <w:szCs w:val="32"/>
        </w:rPr>
      </w:pPr>
      <w:r>
        <w:rPr>
          <w:rFonts w:hint="eastAsia" w:ascii="黑体" w:eastAsia="黑体"/>
          <w:sz w:val="32"/>
          <w:szCs w:val="32"/>
        </w:rPr>
        <w:t>三、支出预算情况说明</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2024年支出预算</w:t>
      </w:r>
      <w:r>
        <w:rPr>
          <w:rFonts w:ascii="仿宋_GB2312" w:eastAsia="仿宋_GB2312"/>
          <w:sz w:val="32"/>
          <w:szCs w:val="32"/>
        </w:rPr>
        <w:t>16895.50</w:t>
      </w:r>
      <w:r>
        <w:rPr>
          <w:rFonts w:hint="eastAsia" w:ascii="仿宋_GB2312" w:eastAsia="仿宋_GB2312"/>
          <w:sz w:val="32"/>
          <w:szCs w:val="32"/>
        </w:rPr>
        <w:t>万元，比2023年年初预算数13817.51万元</w:t>
      </w:r>
      <w:bookmarkStart w:id="1" w:name="_GoBack"/>
      <w:bookmarkEnd w:id="1"/>
      <w:r>
        <w:rPr>
          <w:rFonts w:hint="eastAsia" w:ascii="仿宋_GB2312" w:eastAsia="仿宋_GB2312"/>
          <w:sz w:val="32"/>
          <w:szCs w:val="32"/>
        </w:rPr>
        <w:t>增加3077.99万元，增长</w:t>
      </w:r>
      <w:r>
        <w:rPr>
          <w:rFonts w:ascii="仿宋_GB2312" w:eastAsia="仿宋_GB2312"/>
          <w:sz w:val="32"/>
          <w:szCs w:val="32"/>
        </w:rPr>
        <w:t>22.28%</w:t>
      </w:r>
      <w:r>
        <w:rPr>
          <w:rFonts w:hint="eastAsia" w:ascii="仿宋_GB2312" w:eastAsia="仿宋_GB2312"/>
          <w:sz w:val="32"/>
          <w:szCs w:val="32"/>
        </w:rPr>
        <w:t>。主要原因是根据事业发展规划</w:t>
      </w:r>
      <w:r>
        <w:rPr>
          <w:rFonts w:hint="eastAsia" w:ascii="仿宋_GB2312" w:eastAsia="仿宋_GB2312"/>
          <w:sz w:val="32"/>
          <w:szCs w:val="32"/>
          <w:lang w:eastAsia="zh-CN"/>
        </w:rPr>
        <w:t>增加</w:t>
      </w:r>
      <w:r>
        <w:rPr>
          <w:rFonts w:hint="eastAsia" w:ascii="仿宋_GB2312" w:eastAsia="仿宋_GB2312"/>
          <w:sz w:val="32"/>
          <w:szCs w:val="32"/>
        </w:rPr>
        <w:t>支出预算。</w:t>
      </w:r>
    </w:p>
    <w:p>
      <w:pPr>
        <w:spacing w:line="560" w:lineRule="exact"/>
        <w:ind w:firstLine="640"/>
        <w:rPr>
          <w:rFonts w:hint="eastAsia"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w:t>
      </w:r>
      <w:r>
        <w:rPr>
          <w:rFonts w:ascii="仿宋_GB2312" w:eastAsia="仿宋_GB2312"/>
          <w:sz w:val="32"/>
          <w:szCs w:val="32"/>
        </w:rPr>
        <w:t>6911.99</w:t>
      </w:r>
      <w:r>
        <w:rPr>
          <w:rFonts w:hint="eastAsia" w:ascii="仿宋_GB2312" w:eastAsia="仿宋_GB2312"/>
          <w:sz w:val="32"/>
          <w:szCs w:val="32"/>
        </w:rPr>
        <w:t>万元，占总支出预算</w:t>
      </w:r>
      <w:r>
        <w:rPr>
          <w:rFonts w:ascii="仿宋_GB2312" w:eastAsia="仿宋_GB2312"/>
          <w:sz w:val="32"/>
          <w:szCs w:val="32"/>
        </w:rPr>
        <w:t>40.91%</w:t>
      </w:r>
      <w:r>
        <w:rPr>
          <w:rFonts w:hint="eastAsia" w:ascii="仿宋_GB2312" w:eastAsia="仿宋_GB2312"/>
          <w:sz w:val="32"/>
          <w:szCs w:val="32"/>
        </w:rPr>
        <w:t>，比2023年年初预算数6593.23万元增加318.76万元，增长4.83%。</w:t>
      </w:r>
    </w:p>
    <w:p>
      <w:pPr>
        <w:spacing w:line="560" w:lineRule="exact"/>
        <w:ind w:firstLine="640"/>
        <w:rPr>
          <w:rFonts w:hint="eastAsia"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w:t>
      </w:r>
      <w:r>
        <w:rPr>
          <w:rFonts w:ascii="仿宋_GB2312" w:eastAsia="仿宋_GB2312"/>
          <w:sz w:val="32"/>
          <w:szCs w:val="32"/>
        </w:rPr>
        <w:t>9983.51</w:t>
      </w:r>
      <w:r>
        <w:rPr>
          <w:rFonts w:hint="eastAsia" w:ascii="仿宋_GB2312" w:eastAsia="仿宋_GB2312"/>
          <w:sz w:val="32"/>
          <w:szCs w:val="32"/>
        </w:rPr>
        <w:t>万元，比2023年年初预算数</w:t>
      </w:r>
      <w:r>
        <w:rPr>
          <w:rFonts w:ascii="仿宋_GB2312" w:eastAsia="仿宋_GB2312"/>
          <w:sz w:val="32"/>
          <w:szCs w:val="32"/>
        </w:rPr>
        <w:t>7224.28</w:t>
      </w:r>
      <w:r>
        <w:rPr>
          <w:rFonts w:hint="eastAsia" w:ascii="仿宋_GB2312" w:eastAsia="仿宋_GB2312"/>
          <w:sz w:val="32"/>
          <w:szCs w:val="32"/>
        </w:rPr>
        <w:t>万元增加</w:t>
      </w:r>
      <w:r>
        <w:rPr>
          <w:rFonts w:ascii="仿宋_GB2312" w:eastAsia="仿宋_GB2312"/>
          <w:sz w:val="32"/>
          <w:szCs w:val="32"/>
        </w:rPr>
        <w:t>2759.23</w:t>
      </w:r>
      <w:r>
        <w:rPr>
          <w:rFonts w:hint="eastAsia" w:ascii="仿宋_GB2312" w:eastAsia="仿宋_GB2312"/>
          <w:sz w:val="32"/>
          <w:szCs w:val="32"/>
        </w:rPr>
        <w:t>万元，增长</w:t>
      </w:r>
      <w:r>
        <w:rPr>
          <w:rFonts w:ascii="仿宋_GB2312" w:eastAsia="仿宋_GB2312"/>
          <w:sz w:val="32"/>
          <w:szCs w:val="32"/>
        </w:rPr>
        <w:t>38.19%</w:t>
      </w:r>
      <w:r>
        <w:rPr>
          <w:rFonts w:hint="eastAsia" w:ascii="仿宋_GB2312" w:eastAsia="仿宋_GB2312"/>
          <w:sz w:val="32"/>
          <w:szCs w:val="32"/>
        </w:rPr>
        <w:t>。其中：</w:t>
      </w:r>
    </w:p>
    <w:p>
      <w:pPr>
        <w:spacing w:line="560" w:lineRule="exact"/>
        <w:ind w:firstLine="640"/>
        <w:rPr>
          <w:rFonts w:hint="eastAsia" w:ascii="仿宋_GB2312" w:eastAsia="仿宋_GB2312"/>
          <w:sz w:val="32"/>
          <w:szCs w:val="32"/>
        </w:rPr>
      </w:pPr>
      <w:r>
        <w:rPr>
          <w:rFonts w:hint="eastAsia" w:ascii="仿宋_GB2312" w:eastAsia="仿宋_GB2312"/>
          <w:sz w:val="32"/>
          <w:szCs w:val="32"/>
        </w:rPr>
        <w:t>1.事业单位经营支出</w:t>
      </w:r>
      <w:r>
        <w:rPr>
          <w:rFonts w:ascii="仿宋_GB2312" w:eastAsia="仿宋_GB2312"/>
          <w:sz w:val="32"/>
          <w:szCs w:val="32"/>
        </w:rPr>
        <w:t>3282.55</w:t>
      </w:r>
      <w:r>
        <w:rPr>
          <w:rFonts w:hint="eastAsia" w:ascii="仿宋_GB2312" w:eastAsia="仿宋_GB2312"/>
          <w:sz w:val="32"/>
          <w:szCs w:val="32"/>
        </w:rPr>
        <w:t>万元。</w:t>
      </w:r>
    </w:p>
    <w:p>
      <w:pPr>
        <w:spacing w:line="560" w:lineRule="exact"/>
        <w:ind w:firstLine="640"/>
        <w:rPr>
          <w:rFonts w:hint="eastAsia" w:ascii="仿宋_GB2312" w:eastAsia="仿宋_GB2312"/>
          <w:sz w:val="32"/>
          <w:szCs w:val="32"/>
        </w:rPr>
      </w:pPr>
      <w:r>
        <w:rPr>
          <w:rFonts w:hint="eastAsia" w:ascii="仿宋_GB2312" w:eastAsia="仿宋_GB2312"/>
          <w:sz w:val="32"/>
          <w:szCs w:val="32"/>
        </w:rPr>
        <w:t>2.上缴上级支出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w:t>
      </w:r>
      <w:r>
        <w:rPr>
          <w:rFonts w:ascii="仿宋_GB2312" w:eastAsia="仿宋_GB2312"/>
          <w:sz w:val="32"/>
          <w:szCs w:val="32"/>
        </w:rPr>
        <w:t>0</w:t>
      </w:r>
      <w:r>
        <w:rPr>
          <w:rFonts w:hint="eastAsia" w:ascii="仿宋_GB2312" w:eastAsia="仿宋_GB2312"/>
          <w:sz w:val="32"/>
          <w:szCs w:val="32"/>
        </w:rPr>
        <w:t>万元。</w:t>
      </w:r>
    </w:p>
    <w:p>
      <w:pPr>
        <w:jc w:val="center"/>
        <w:rPr>
          <w:rFonts w:ascii="仿宋_GB2312" w:eastAsia="仿宋_GB2312"/>
          <w:sz w:val="32"/>
        </w:rPr>
      </w:pPr>
    </w:p>
    <w:p>
      <w:pPr>
        <w:jc w:val="center"/>
        <w:rPr>
          <w:rFonts w:ascii="仿宋_GB2312" w:eastAsia="仿宋_GB2312"/>
          <w:sz w:val="32"/>
        </w:rPr>
      </w:pPr>
    </w:p>
    <w:p>
      <w:pPr>
        <w:jc w:val="center"/>
        <w:rPr>
          <w:rFonts w:ascii="仿宋_GB2312" w:eastAsia="仿宋_GB2312"/>
          <w:sz w:val="32"/>
        </w:rPr>
      </w:pPr>
      <w:r>
        <w:rPr>
          <w:rFonts w:ascii="仿宋_GB2312" w:eastAsia="仿宋_GB2312"/>
          <w:sz w:val="32"/>
        </w:rPr>
        <w:drawing>
          <wp:inline distT="0" distB="0" distL="114300" distR="114300">
            <wp:extent cx="4584700" cy="2755900"/>
            <wp:effectExtent l="0" t="0" r="0" b="0"/>
            <wp:docPr id="1"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true"/>
                    </pic:cNvPicPr>
                  </pic:nvPicPr>
                  <pic:blipFill>
                    <a:blip r:embed="rId6"/>
                    <a:stretch>
                      <a:fillRect/>
                    </a:stretch>
                  </pic:blipFill>
                  <pic:spPr>
                    <a:xfrm>
                      <a:off x="0" y="0"/>
                      <a:ext cx="4584700" cy="2755900"/>
                    </a:xfrm>
                    <a:prstGeom prst="rect">
                      <a:avLst/>
                    </a:prstGeom>
                    <a:noFill/>
                    <a:ln>
                      <a:noFill/>
                    </a:ln>
                  </pic:spPr>
                </pic:pic>
              </a:graphicData>
            </a:graphic>
          </wp:inline>
        </w:drawing>
      </w:r>
    </w:p>
    <w:p>
      <w:pPr>
        <w:jc w:val="center"/>
        <w:rPr>
          <w:rFonts w:ascii="仿宋_GB2312" w:eastAsia="仿宋_GB2312"/>
          <w:sz w:val="32"/>
        </w:rPr>
      </w:pPr>
      <w:r>
        <w:rPr>
          <w:rFonts w:hint="eastAsia" w:ascii="仿宋_GB2312" w:eastAsia="仿宋_GB2312"/>
          <w:sz w:val="32"/>
        </w:rPr>
        <w:t>图2：基本支出和项目支出情况</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年终结转结余资金</w:t>
      </w:r>
      <w:r>
        <w:rPr>
          <w:rFonts w:ascii="楷体_GB2312" w:hAnsi="楷体_GB2312" w:eastAsia="楷体_GB2312" w:cs="楷体_GB2312"/>
          <w:sz w:val="32"/>
          <w:szCs w:val="32"/>
        </w:rPr>
        <w:t>0</w:t>
      </w:r>
      <w:r>
        <w:rPr>
          <w:rFonts w:hint="eastAsia" w:ascii="楷体_GB2312" w:hAnsi="楷体_GB2312" w:eastAsia="楷体_GB2312" w:cs="楷体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rPr>
        <w:t>四、财政拨款“三公”经费预算情况说明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（一）“三公”经费的单位范围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北京教育融媒体中心因公出国（境）费用、公务接待费、公务用车购置和运行维护费开支单位包括</w:t>
      </w:r>
      <w:r>
        <w:rPr>
          <w:rFonts w:ascii="仿宋_GB2312" w:eastAsia="仿宋_GB2312"/>
          <w:sz w:val="32"/>
          <w:szCs w:val="32"/>
        </w:rPr>
        <w:t>1</w:t>
      </w:r>
      <w:r>
        <w:rPr>
          <w:rFonts w:hint="eastAsia" w:ascii="仿宋_GB2312" w:eastAsia="仿宋_GB2312"/>
          <w:sz w:val="32"/>
          <w:szCs w:val="32"/>
        </w:rPr>
        <w:t>个所属单位。其他所属单位2024年无财政拨款安排的“三公”经费预算。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（二）财政拨款“三公”经费预算情况说明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2024年财政拨款“三公”经费预算</w:t>
      </w:r>
      <w:r>
        <w:rPr>
          <w:rFonts w:ascii="仿宋_GB2312" w:eastAsia="仿宋_GB2312"/>
          <w:sz w:val="32"/>
          <w:szCs w:val="32"/>
        </w:rPr>
        <w:t>9.35</w:t>
      </w:r>
      <w:r>
        <w:rPr>
          <w:rFonts w:hint="eastAsia" w:ascii="仿宋_GB2312" w:eastAsia="仿宋_GB2312"/>
          <w:sz w:val="32"/>
          <w:szCs w:val="32"/>
        </w:rPr>
        <w:t>万元，比2023年财政拨款“三公”经费预算减少</w:t>
      </w:r>
      <w:r>
        <w:rPr>
          <w:rFonts w:ascii="仿宋_GB2312" w:eastAsia="仿宋_GB2312"/>
          <w:sz w:val="32"/>
          <w:szCs w:val="32"/>
        </w:rPr>
        <w:t>32.07</w:t>
      </w:r>
      <w:r>
        <w:rPr>
          <w:rFonts w:hint="eastAsia" w:ascii="仿宋_GB2312"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1.因公出国（境）费用。2024年预算数</w:t>
      </w:r>
      <w:r>
        <w:rPr>
          <w:rFonts w:ascii="仿宋_GB2312" w:eastAsia="仿宋_GB2312"/>
          <w:sz w:val="32"/>
          <w:szCs w:val="32"/>
        </w:rPr>
        <w:t>0</w:t>
      </w:r>
      <w:r>
        <w:rPr>
          <w:rFonts w:hint="eastAsia" w:ascii="仿宋_GB2312" w:eastAsia="仿宋_GB2312"/>
          <w:sz w:val="32"/>
          <w:szCs w:val="32"/>
        </w:rPr>
        <w:t>万元，与2023持平。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2.公务接待费。2024年预算数</w:t>
      </w:r>
      <w:r>
        <w:rPr>
          <w:rFonts w:ascii="仿宋_GB2312" w:eastAsia="仿宋_GB2312"/>
          <w:sz w:val="32"/>
          <w:szCs w:val="32"/>
        </w:rPr>
        <w:t>0.85</w:t>
      </w:r>
      <w:r>
        <w:rPr>
          <w:rFonts w:hint="eastAsia" w:ascii="仿宋_GB2312" w:eastAsia="仿宋_GB2312"/>
          <w:sz w:val="32"/>
          <w:szCs w:val="32"/>
        </w:rPr>
        <w:t>万元，比2023年年初预算数5.26万元减少4.41万元，主要原因：落实政府“过紧日子”要求，进一步压减一般性支出。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3.公务用车购置和运行维护费。2024年预算数</w:t>
      </w:r>
      <w:r>
        <w:rPr>
          <w:rFonts w:ascii="仿宋_GB2312" w:eastAsia="仿宋_GB2312"/>
          <w:sz w:val="32"/>
          <w:szCs w:val="32"/>
        </w:rPr>
        <w:t>8.50</w:t>
      </w:r>
      <w:r>
        <w:rPr>
          <w:rFonts w:hint="eastAsia" w:ascii="仿宋_GB2312" w:eastAsia="仿宋_GB2312"/>
          <w:sz w:val="32"/>
          <w:szCs w:val="32"/>
        </w:rPr>
        <w:t>万元，包括：公务用车购置费2024年预算数</w:t>
      </w:r>
      <w:r>
        <w:rPr>
          <w:rFonts w:ascii="仿宋_GB2312" w:eastAsia="仿宋_GB2312"/>
          <w:sz w:val="32"/>
          <w:szCs w:val="32"/>
        </w:rPr>
        <w:t>0</w:t>
      </w:r>
      <w:r>
        <w:rPr>
          <w:rFonts w:hint="eastAsia" w:ascii="仿宋_GB2312" w:eastAsia="仿宋_GB2312"/>
          <w:sz w:val="32"/>
          <w:szCs w:val="32"/>
        </w:rPr>
        <w:t>万元，比2023年年初预算数</w:t>
      </w:r>
      <w:r>
        <w:rPr>
          <w:rFonts w:ascii="仿宋_GB2312" w:eastAsia="仿宋_GB2312"/>
          <w:sz w:val="32"/>
          <w:szCs w:val="32"/>
        </w:rPr>
        <w:t>17.98</w:t>
      </w:r>
      <w:r>
        <w:rPr>
          <w:rFonts w:hint="eastAsia" w:ascii="仿宋_GB2312" w:eastAsia="仿宋_GB2312"/>
          <w:sz w:val="32"/>
          <w:szCs w:val="32"/>
        </w:rPr>
        <w:t>万元减少1</w:t>
      </w:r>
      <w:r>
        <w:rPr>
          <w:rFonts w:ascii="仿宋_GB2312" w:eastAsia="仿宋_GB2312"/>
          <w:sz w:val="32"/>
          <w:szCs w:val="32"/>
        </w:rPr>
        <w:t>7.98</w:t>
      </w:r>
      <w:r>
        <w:rPr>
          <w:rFonts w:hint="eastAsia" w:ascii="仿宋_GB2312" w:eastAsia="仿宋_GB2312"/>
          <w:sz w:val="32"/>
          <w:szCs w:val="32"/>
        </w:rPr>
        <w:t>万元，主要原因：厉行勤俭节约，严格控制公务用车更新；公务用车运行维护费2024年预算数</w:t>
      </w:r>
      <w:r>
        <w:rPr>
          <w:rFonts w:ascii="仿宋_GB2312" w:eastAsia="仿宋_GB2312"/>
          <w:sz w:val="32"/>
          <w:szCs w:val="32"/>
        </w:rPr>
        <w:t>8.50</w:t>
      </w:r>
      <w:r>
        <w:rPr>
          <w:rFonts w:hint="eastAsia" w:ascii="仿宋_GB2312" w:eastAsia="仿宋_GB2312"/>
          <w:sz w:val="32"/>
          <w:szCs w:val="32"/>
        </w:rPr>
        <w:t>万元，其中：公务用车燃油</w:t>
      </w:r>
      <w:r>
        <w:rPr>
          <w:rFonts w:ascii="仿宋_GB2312" w:eastAsia="仿宋_GB2312"/>
          <w:sz w:val="32"/>
          <w:szCs w:val="32"/>
        </w:rPr>
        <w:t>3.25</w:t>
      </w:r>
      <w:r>
        <w:rPr>
          <w:rFonts w:hint="eastAsia" w:ascii="仿宋_GB2312" w:eastAsia="仿宋_GB2312"/>
          <w:sz w:val="32"/>
          <w:szCs w:val="32"/>
        </w:rPr>
        <w:t>万元，公务用车维修</w:t>
      </w:r>
      <w:r>
        <w:rPr>
          <w:rFonts w:ascii="仿宋_GB2312" w:eastAsia="仿宋_GB2312"/>
          <w:sz w:val="32"/>
          <w:szCs w:val="32"/>
        </w:rPr>
        <w:t>2.12</w:t>
      </w:r>
      <w:r>
        <w:rPr>
          <w:rFonts w:hint="eastAsia" w:ascii="仿宋_GB2312" w:eastAsia="仿宋_GB2312"/>
          <w:sz w:val="32"/>
          <w:szCs w:val="32"/>
        </w:rPr>
        <w:t>万元，公务用车保险</w:t>
      </w:r>
      <w:r>
        <w:rPr>
          <w:rFonts w:ascii="仿宋_GB2312" w:eastAsia="仿宋_GB2312"/>
          <w:sz w:val="32"/>
          <w:szCs w:val="32"/>
        </w:rPr>
        <w:t>2.00</w:t>
      </w:r>
      <w:r>
        <w:rPr>
          <w:rFonts w:hint="eastAsia" w:ascii="仿宋_GB2312" w:eastAsia="仿宋_GB2312"/>
          <w:sz w:val="32"/>
          <w:szCs w:val="32"/>
        </w:rPr>
        <w:t>万元，其他支出</w:t>
      </w:r>
      <w:r>
        <w:rPr>
          <w:rFonts w:ascii="仿宋_GB2312" w:eastAsia="仿宋_GB2312"/>
          <w:sz w:val="32"/>
          <w:szCs w:val="32"/>
        </w:rPr>
        <w:t>1.13</w:t>
      </w:r>
      <w:r>
        <w:rPr>
          <w:rFonts w:hint="eastAsia" w:ascii="仿宋_GB2312" w:eastAsia="仿宋_GB2312"/>
          <w:sz w:val="32"/>
          <w:szCs w:val="32"/>
        </w:rPr>
        <w:t>万元。公务用车运行维护费2024年预算数比2023年年初预算数18.18万元减少9.68万元，主要原因：落实政府“过紧日子”要求，进一步压减一般性支出。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rPr>
        <w:t>五、其他情况说明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（一）政府采购预算说明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2024年北京教育融媒体中心政府采购预算总额</w:t>
      </w:r>
      <w:r>
        <w:rPr>
          <w:rFonts w:ascii="仿宋_GB2312" w:eastAsia="仿宋_GB2312"/>
          <w:sz w:val="32"/>
          <w:szCs w:val="32"/>
        </w:rPr>
        <w:t>5888.96</w:t>
      </w:r>
      <w:r>
        <w:rPr>
          <w:rFonts w:hint="eastAsia" w:ascii="仿宋_GB2312" w:eastAsia="仿宋_GB2312"/>
          <w:sz w:val="32"/>
          <w:szCs w:val="32"/>
        </w:rPr>
        <w:t>万元，其中：政府采购货物预算</w:t>
      </w:r>
      <w:r>
        <w:rPr>
          <w:rFonts w:ascii="仿宋_GB2312" w:eastAsia="仿宋_GB2312"/>
          <w:sz w:val="32"/>
          <w:szCs w:val="32"/>
        </w:rPr>
        <w:t>0</w:t>
      </w:r>
      <w:r>
        <w:rPr>
          <w:rFonts w:hint="eastAsia" w:ascii="仿宋_GB2312" w:eastAsia="仿宋_GB2312"/>
          <w:sz w:val="32"/>
          <w:szCs w:val="32"/>
        </w:rPr>
        <w:t>万元，政府采购工程预算</w:t>
      </w:r>
      <w:r>
        <w:rPr>
          <w:rFonts w:ascii="仿宋_GB2312" w:eastAsia="仿宋_GB2312"/>
          <w:sz w:val="32"/>
          <w:szCs w:val="32"/>
        </w:rPr>
        <w:t>3795.60</w:t>
      </w:r>
      <w:r>
        <w:rPr>
          <w:rFonts w:hint="eastAsia" w:ascii="仿宋_GB2312" w:eastAsia="仿宋_GB2312"/>
          <w:sz w:val="32"/>
          <w:szCs w:val="32"/>
        </w:rPr>
        <w:t>万元，政府采购服务预算</w:t>
      </w:r>
      <w:r>
        <w:rPr>
          <w:rFonts w:ascii="仿宋_GB2312" w:eastAsia="仿宋_GB2312"/>
          <w:sz w:val="32"/>
          <w:szCs w:val="32"/>
        </w:rPr>
        <w:t>2093.36</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（二）政府购买服务预算说明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2024年北京教育融媒体中心政府购买服务预算总额</w:t>
      </w:r>
      <w:r>
        <w:rPr>
          <w:rFonts w:ascii="仿宋_GB2312" w:eastAsia="仿宋_GB2312"/>
          <w:color w:val="000000"/>
          <w:sz w:val="32"/>
          <w:szCs w:val="32"/>
        </w:rPr>
        <w:t>0</w:t>
      </w:r>
      <w:r>
        <w:rPr>
          <w:rFonts w:hint="eastAsia" w:ascii="仿宋_GB2312" w:eastAsia="仿宋_GB2312"/>
          <w:color w:val="00000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（三）机关运行经费说明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我单位不在机关运行经费统计范围之内。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（四）项目支出绩效目标情况说明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仿宋_GB2312" w:eastAsia="仿宋_GB2312"/>
          <w:sz w:val="32"/>
          <w:szCs w:val="32"/>
        </w:rPr>
        <w:t>2024年，</w:t>
      </w:r>
      <w:r>
        <w:rPr>
          <w:rFonts w:hint="eastAsia" w:ascii="仿宋_GB2312" w:eastAsia="仿宋_GB2312"/>
          <w:color w:val="000000"/>
          <w:sz w:val="32"/>
          <w:szCs w:val="32"/>
        </w:rPr>
        <w:t>北京教育融媒体中心</w:t>
      </w:r>
      <w:r>
        <w:rPr>
          <w:rFonts w:hint="eastAsia" w:ascii="仿宋_GB2312" w:eastAsia="仿宋_GB2312"/>
          <w:sz w:val="32"/>
          <w:szCs w:val="32"/>
        </w:rPr>
        <w:t>填报绩效目标的预算项目</w:t>
      </w:r>
      <w:r>
        <w:rPr>
          <w:rFonts w:ascii="仿宋_GB2312" w:eastAsia="仿宋_GB2312"/>
          <w:sz w:val="32"/>
          <w:szCs w:val="32"/>
        </w:rPr>
        <w:t>13</w:t>
      </w:r>
      <w:r>
        <w:rPr>
          <w:rFonts w:hint="eastAsia" w:ascii="仿宋_GB2312" w:eastAsia="仿宋_GB2312"/>
          <w:sz w:val="32"/>
          <w:szCs w:val="32"/>
        </w:rPr>
        <w:t>个，占本单位本年预算项目</w:t>
      </w:r>
      <w:r>
        <w:rPr>
          <w:rFonts w:ascii="仿宋_GB2312" w:eastAsia="仿宋_GB2312"/>
          <w:sz w:val="32"/>
          <w:szCs w:val="32"/>
        </w:rPr>
        <w:t>13</w:t>
      </w:r>
      <w:r>
        <w:rPr>
          <w:rFonts w:hint="eastAsia" w:ascii="仿宋_GB2312" w:eastAsia="仿宋_GB2312"/>
          <w:sz w:val="32"/>
          <w:szCs w:val="32"/>
        </w:rPr>
        <w:t>个的</w:t>
      </w:r>
      <w:r>
        <w:rPr>
          <w:rFonts w:ascii="仿宋_GB2312" w:eastAsia="仿宋_GB2312"/>
          <w:sz w:val="32"/>
          <w:szCs w:val="32"/>
        </w:rPr>
        <w:t>100</w:t>
      </w:r>
      <w:r>
        <w:rPr>
          <w:rFonts w:hint="eastAsia" w:ascii="仿宋_GB2312" w:eastAsia="仿宋_GB2312"/>
          <w:sz w:val="32"/>
          <w:szCs w:val="32"/>
        </w:rPr>
        <w:t>%。填报绩效目标的项目支出预算</w:t>
      </w:r>
      <w:r>
        <w:rPr>
          <w:rFonts w:ascii="仿宋_GB2312" w:eastAsia="仿宋_GB2312"/>
          <w:sz w:val="32"/>
          <w:szCs w:val="32"/>
        </w:rPr>
        <w:t>9983.51</w:t>
      </w:r>
      <w:r>
        <w:rPr>
          <w:rFonts w:hint="eastAsia" w:ascii="仿宋_GB2312" w:eastAsia="仿宋_GB2312"/>
          <w:sz w:val="32"/>
          <w:szCs w:val="32"/>
        </w:rPr>
        <w:t>万元，占本单位本年项目支出预算的</w:t>
      </w:r>
      <w:r>
        <w:rPr>
          <w:rFonts w:ascii="仿宋_GB2312" w:eastAsia="仿宋_GB2312"/>
          <w:sz w:val="32"/>
          <w:szCs w:val="32"/>
        </w:rPr>
        <w:t>100</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（五）重点行政事业性收费情况说明</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_GB2312" w:eastAsia="仿宋_GB2312"/>
          <w:sz w:val="32"/>
          <w:szCs w:val="32"/>
        </w:rPr>
      </w:pPr>
      <w:r>
        <w:rPr>
          <w:rFonts w:hint="eastAsia" w:ascii="仿宋_GB2312" w:eastAsia="仿宋_GB2312"/>
          <w:sz w:val="32"/>
          <w:szCs w:val="32"/>
        </w:rPr>
        <w:t>本单位2024年无重点行政事业性收费。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（六）国有资本经营预算财政拨款情况说明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color w:val="000000"/>
          <w:sz w:val="32"/>
          <w:szCs w:val="32"/>
        </w:rPr>
      </w:pPr>
      <w:r>
        <w:rPr>
          <w:rFonts w:hint="eastAsia" w:ascii="楷体_GB2312" w:eastAsia="楷体_GB2312"/>
          <w:color w:val="000000"/>
          <w:sz w:val="32"/>
          <w:szCs w:val="32"/>
        </w:rPr>
        <w:t>（七）国有资产占用情况说明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截至2023年底，</w:t>
      </w:r>
      <w:r>
        <w:rPr>
          <w:rFonts w:hint="eastAsia" w:ascii="仿宋_GB2312" w:eastAsia="仿宋_GB2312"/>
          <w:sz w:val="32"/>
          <w:szCs w:val="32"/>
        </w:rPr>
        <w:t>北京教育融媒体中心</w:t>
      </w:r>
      <w:r>
        <w:rPr>
          <w:rFonts w:hint="eastAsia" w:ascii="仿宋_GB2312" w:eastAsia="仿宋_GB2312"/>
          <w:color w:val="000000"/>
          <w:sz w:val="32"/>
          <w:szCs w:val="32"/>
        </w:rPr>
        <w:t>共有车辆</w:t>
      </w:r>
      <w:r>
        <w:rPr>
          <w:rFonts w:ascii="仿宋_GB2312" w:eastAsia="仿宋_GB2312"/>
          <w:color w:val="000000"/>
          <w:sz w:val="32"/>
          <w:szCs w:val="32"/>
        </w:rPr>
        <w:t>9</w:t>
      </w:r>
      <w:r>
        <w:rPr>
          <w:rFonts w:hint="eastAsia" w:ascii="仿宋_GB2312" w:eastAsia="仿宋_GB2312"/>
          <w:color w:val="000000"/>
          <w:sz w:val="32"/>
          <w:szCs w:val="32"/>
        </w:rPr>
        <w:t>台，共计</w:t>
      </w:r>
      <w:r>
        <w:rPr>
          <w:rFonts w:ascii="仿宋_GB2312" w:eastAsia="仿宋_GB2312"/>
          <w:color w:val="000000"/>
          <w:sz w:val="32"/>
          <w:szCs w:val="32"/>
        </w:rPr>
        <w:t>222.89</w:t>
      </w:r>
      <w:r>
        <w:rPr>
          <w:rFonts w:hint="eastAsia" w:ascii="仿宋_GB2312" w:eastAsia="仿宋_GB2312"/>
          <w:color w:val="000000"/>
          <w:sz w:val="32"/>
          <w:szCs w:val="32"/>
        </w:rPr>
        <w:t>万元；单位价值50万元以上的设备</w:t>
      </w:r>
      <w:r>
        <w:rPr>
          <w:rFonts w:ascii="仿宋_GB2312" w:eastAsia="仿宋_GB2312"/>
          <w:color w:val="000000"/>
          <w:sz w:val="32"/>
          <w:szCs w:val="32"/>
        </w:rPr>
        <w:t>0</w:t>
      </w:r>
      <w:r>
        <w:rPr>
          <w:rFonts w:hint="eastAsia" w:ascii="仿宋_GB2312" w:eastAsia="仿宋_GB2312"/>
          <w:color w:val="000000"/>
          <w:sz w:val="32"/>
          <w:szCs w:val="32"/>
        </w:rPr>
        <w:t>台（套）、共计</w:t>
      </w:r>
      <w:r>
        <w:rPr>
          <w:rFonts w:ascii="仿宋_GB2312" w:eastAsia="仿宋_GB2312"/>
          <w:color w:val="000000"/>
          <w:sz w:val="32"/>
          <w:szCs w:val="32"/>
        </w:rPr>
        <w:t>0</w:t>
      </w:r>
      <w:r>
        <w:rPr>
          <w:rFonts w:hint="eastAsia" w:ascii="仿宋_GB2312" w:eastAsia="仿宋_GB2312"/>
          <w:color w:val="000000"/>
          <w:sz w:val="32"/>
          <w:szCs w:val="32"/>
        </w:rPr>
        <w:t>万元。2024年预算安排中，购置单位价值50万元以上的设备</w:t>
      </w:r>
      <w:r>
        <w:rPr>
          <w:rFonts w:ascii="仿宋_GB2312" w:eastAsia="仿宋_GB2312"/>
          <w:color w:val="000000"/>
          <w:sz w:val="32"/>
          <w:szCs w:val="32"/>
        </w:rPr>
        <w:t>0</w:t>
      </w:r>
      <w:r>
        <w:rPr>
          <w:rFonts w:hint="eastAsia" w:ascii="仿宋_GB2312" w:eastAsia="仿宋_GB2312"/>
          <w:color w:val="000000"/>
          <w:sz w:val="32"/>
          <w:szCs w:val="32"/>
        </w:rPr>
        <w:t>台（套），共计</w:t>
      </w:r>
      <w:r>
        <w:rPr>
          <w:rFonts w:ascii="仿宋_GB2312" w:eastAsia="仿宋_GB2312"/>
          <w:color w:val="000000"/>
          <w:sz w:val="32"/>
          <w:szCs w:val="32"/>
        </w:rPr>
        <w:t>0</w:t>
      </w:r>
      <w:r>
        <w:rPr>
          <w:rFonts w:hint="eastAsia" w:ascii="仿宋_GB2312" w:eastAsia="仿宋_GB2312"/>
          <w:color w:val="00000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pacing w:val="-2"/>
          <w:sz w:val="32"/>
          <w:szCs w:val="32"/>
        </w:rPr>
      </w:pPr>
      <w:r>
        <w:rPr>
          <w:rFonts w:hint="eastAsia" w:ascii="黑体" w:eastAsia="黑体"/>
          <w:color w:val="000000"/>
          <w:sz w:val="32"/>
          <w:szCs w:val="32"/>
        </w:rPr>
        <w:t>六、名词解释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spacing w:line="560" w:lineRule="exact"/>
        <w:jc w:val="center"/>
        <w:rPr>
          <w:rFonts w:ascii="仿宋_GB2312" w:eastAsia="仿宋_GB2312"/>
          <w:sz w:val="32"/>
          <w:szCs w:val="32"/>
        </w:rPr>
      </w:pPr>
    </w:p>
    <w:p/>
    <w:p>
      <w:pPr>
        <w:spacing w:line="560" w:lineRule="exact"/>
        <w:jc w:val="both"/>
        <w:rPr>
          <w:rFonts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hint="eastAsia" w:ascii="方正小标宋简体" w:eastAsia="方正小标宋简体"/>
          <w:color w:val="000000"/>
          <w:sz w:val="36"/>
          <w:szCs w:val="36"/>
        </w:rPr>
      </w:pP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附件：北京教育融媒体中心2024年度单位预算报表</w:t>
      </w:r>
      <w:r>
        <w:rPr>
          <w:rFonts w:hint="eastAsia" w:ascii="仿宋_GB2312" w:eastAsia="仿宋_GB2312" w:cs="宋体"/>
          <w:color w:val="000000"/>
          <w:kern w:val="0"/>
          <w:sz w:val="32"/>
          <w:szCs w:val="32"/>
          <w:lang w:val="zh-CN"/>
        </w:rPr>
        <w:t xml:space="preserve"> </w:t>
      </w:r>
    </w:p>
    <w:p>
      <w:pPr>
        <w:spacing w:line="560" w:lineRule="exact"/>
        <w:rPr>
          <w:rFonts w:hint="eastAsia" w:ascii="仿宋_GB2312" w:eastAsia="仿宋_GB2312"/>
          <w:color w:val="000000"/>
          <w:sz w:val="32"/>
          <w:szCs w:val="32"/>
        </w:rPr>
      </w:pPr>
    </w:p>
    <w:p>
      <w:pPr>
        <w:rPr>
          <w:rFonts w:hint="eastAsia" w:ascii="仿宋_GB2312" w:eastAsia="仿宋_GB2312"/>
          <w:sz w:val="32"/>
          <w:szCs w:val="32"/>
        </w:rPr>
      </w:pPr>
      <w:bookmarkStart w:id="0" w:name="chaosong"/>
      <w:bookmarkEnd w:id="0"/>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5"/>
      <w:ind w:right="360"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2YyYjcyOTgxOTNjZWFiMmFlNzE5NWNhZGJiNzgifQ=="/>
  </w:docVars>
  <w:rsids>
    <w:rsidRoot w:val="00797F79"/>
    <w:rsid w:val="00030E4C"/>
    <w:rsid w:val="00071566"/>
    <w:rsid w:val="001333A2"/>
    <w:rsid w:val="001653A5"/>
    <w:rsid w:val="001B1698"/>
    <w:rsid w:val="00277F27"/>
    <w:rsid w:val="002C14DD"/>
    <w:rsid w:val="002D4F4C"/>
    <w:rsid w:val="0032325C"/>
    <w:rsid w:val="003559E6"/>
    <w:rsid w:val="004B52AC"/>
    <w:rsid w:val="004C0A2D"/>
    <w:rsid w:val="0056306D"/>
    <w:rsid w:val="00573DA8"/>
    <w:rsid w:val="005A146D"/>
    <w:rsid w:val="006D4C7A"/>
    <w:rsid w:val="006D7CAD"/>
    <w:rsid w:val="006F3CD8"/>
    <w:rsid w:val="00763598"/>
    <w:rsid w:val="007A3617"/>
    <w:rsid w:val="00823E4A"/>
    <w:rsid w:val="008A2E8D"/>
    <w:rsid w:val="008C2B65"/>
    <w:rsid w:val="00932297"/>
    <w:rsid w:val="00957B13"/>
    <w:rsid w:val="009E68DC"/>
    <w:rsid w:val="009F505C"/>
    <w:rsid w:val="00A02C7F"/>
    <w:rsid w:val="00A947CE"/>
    <w:rsid w:val="00AA0135"/>
    <w:rsid w:val="00AD5B33"/>
    <w:rsid w:val="00B046F7"/>
    <w:rsid w:val="00C326AB"/>
    <w:rsid w:val="00D91F09"/>
    <w:rsid w:val="00EA74BD"/>
    <w:rsid w:val="00ED338D"/>
    <w:rsid w:val="00EF0356"/>
    <w:rsid w:val="00F67CBF"/>
    <w:rsid w:val="00F70260"/>
    <w:rsid w:val="01DE318D"/>
    <w:rsid w:val="0EFFF08B"/>
    <w:rsid w:val="1556FFE7"/>
    <w:rsid w:val="1E2F585A"/>
    <w:rsid w:val="1FB9016F"/>
    <w:rsid w:val="1FE6D21C"/>
    <w:rsid w:val="23735A5C"/>
    <w:rsid w:val="2F7EA178"/>
    <w:rsid w:val="2FF31CCC"/>
    <w:rsid w:val="33BF5DDC"/>
    <w:rsid w:val="37BFBFEE"/>
    <w:rsid w:val="37FD2E23"/>
    <w:rsid w:val="3AEE7FDD"/>
    <w:rsid w:val="3B1D5808"/>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48D44964"/>
    <w:rsid w:val="4CD68066"/>
    <w:rsid w:val="4E67CE40"/>
    <w:rsid w:val="4F6D150F"/>
    <w:rsid w:val="4FEE37C7"/>
    <w:rsid w:val="517E78AA"/>
    <w:rsid w:val="53DF3E7F"/>
    <w:rsid w:val="54362CD0"/>
    <w:rsid w:val="545DF6FA"/>
    <w:rsid w:val="55DE48F6"/>
    <w:rsid w:val="57ADBE82"/>
    <w:rsid w:val="57E332DD"/>
    <w:rsid w:val="57E9CD93"/>
    <w:rsid w:val="57EB425A"/>
    <w:rsid w:val="59D7A30C"/>
    <w:rsid w:val="5BEE7D82"/>
    <w:rsid w:val="5BFC36A8"/>
    <w:rsid w:val="5F5F35ED"/>
    <w:rsid w:val="5FB4B9F0"/>
    <w:rsid w:val="5FD532B6"/>
    <w:rsid w:val="5FE95128"/>
    <w:rsid w:val="5FFFD6B5"/>
    <w:rsid w:val="67BF653D"/>
    <w:rsid w:val="67FBD21B"/>
    <w:rsid w:val="69CDDFC6"/>
    <w:rsid w:val="6AFBD4E9"/>
    <w:rsid w:val="6BFE087F"/>
    <w:rsid w:val="6BFF83C2"/>
    <w:rsid w:val="6C5F4E7D"/>
    <w:rsid w:val="6D3F2E98"/>
    <w:rsid w:val="6DFE07CC"/>
    <w:rsid w:val="6DFFB2B9"/>
    <w:rsid w:val="6ECB6C3E"/>
    <w:rsid w:val="6F3A9571"/>
    <w:rsid w:val="6FCDA027"/>
    <w:rsid w:val="6FDC8289"/>
    <w:rsid w:val="71FF8133"/>
    <w:rsid w:val="729DB731"/>
    <w:rsid w:val="732F9AB6"/>
    <w:rsid w:val="73A5D6F8"/>
    <w:rsid w:val="73F9C99C"/>
    <w:rsid w:val="74FD455A"/>
    <w:rsid w:val="75D907AF"/>
    <w:rsid w:val="763ED7FC"/>
    <w:rsid w:val="767FBCC8"/>
    <w:rsid w:val="76FE24ED"/>
    <w:rsid w:val="77773C62"/>
    <w:rsid w:val="777F4630"/>
    <w:rsid w:val="77DF7EB6"/>
    <w:rsid w:val="77FABEEF"/>
    <w:rsid w:val="78F52093"/>
    <w:rsid w:val="797F48DA"/>
    <w:rsid w:val="79CFCA19"/>
    <w:rsid w:val="7B2E7344"/>
    <w:rsid w:val="7B503CA9"/>
    <w:rsid w:val="7B5B4466"/>
    <w:rsid w:val="7B8DB0E0"/>
    <w:rsid w:val="7BD7C5D4"/>
    <w:rsid w:val="7BDE2E6D"/>
    <w:rsid w:val="7BFAEA32"/>
    <w:rsid w:val="7C9BB5BA"/>
    <w:rsid w:val="7D629DCE"/>
    <w:rsid w:val="7D7E1C9B"/>
    <w:rsid w:val="7DAF9F6F"/>
    <w:rsid w:val="7DDF7761"/>
    <w:rsid w:val="7DFBA975"/>
    <w:rsid w:val="7E7F7957"/>
    <w:rsid w:val="7EBE6155"/>
    <w:rsid w:val="7F3BE6B0"/>
    <w:rsid w:val="7F3F94D5"/>
    <w:rsid w:val="7F3FC408"/>
    <w:rsid w:val="7F7AD461"/>
    <w:rsid w:val="7F99B012"/>
    <w:rsid w:val="7F9BB94C"/>
    <w:rsid w:val="7FB5D6F6"/>
    <w:rsid w:val="7FCD88E5"/>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39883F1"/>
    <w:rsid w:val="B3FEB972"/>
    <w:rsid w:val="B5DAA59F"/>
    <w:rsid w:val="B6E956E9"/>
    <w:rsid w:val="B6FFE3F9"/>
    <w:rsid w:val="B9C511BB"/>
    <w:rsid w:val="B9E3AE77"/>
    <w:rsid w:val="B9FF9DD8"/>
    <w:rsid w:val="BA8DB816"/>
    <w:rsid w:val="BB7F4D3C"/>
    <w:rsid w:val="BBAFC879"/>
    <w:rsid w:val="BBFDC091"/>
    <w:rsid w:val="BC3FB194"/>
    <w:rsid w:val="BC93032D"/>
    <w:rsid w:val="BCDC4AFD"/>
    <w:rsid w:val="BEEF0D30"/>
    <w:rsid w:val="BEFF6650"/>
    <w:rsid w:val="BF7B23E6"/>
    <w:rsid w:val="BFBFE194"/>
    <w:rsid w:val="BFCFAEF2"/>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F30CE"/>
    <w:rsid w:val="EFFD6B90"/>
    <w:rsid w:val="EFFF9813"/>
    <w:rsid w:val="F279611C"/>
    <w:rsid w:val="F3F77884"/>
    <w:rsid w:val="F54BAC81"/>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F37C4AF"/>
    <w:rsid w:val="FF3B22F4"/>
    <w:rsid w:val="FF6924AB"/>
    <w:rsid w:val="FF7EBEF1"/>
    <w:rsid w:val="FF7EFAC0"/>
    <w:rsid w:val="FFAE5527"/>
    <w:rsid w:val="FFD77F58"/>
    <w:rsid w:val="FFDA8D4D"/>
    <w:rsid w:val="FFDF0294"/>
    <w:rsid w:val="FFE76197"/>
    <w:rsid w:val="FFEDE558"/>
    <w:rsid w:val="FFEFCFF3"/>
    <w:rsid w:val="FFF20AD4"/>
    <w:rsid w:val="FFF6E6ED"/>
    <w:rsid w:val="FFF70B16"/>
    <w:rsid w:val="FFFAE4B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Date"/>
    <w:basedOn w:val="1"/>
    <w:next w:val="1"/>
    <w:qFormat/>
    <w:uiPriority w:val="0"/>
    <w:rPr>
      <w:rFonts w:eastAsia="楷体_GB2312" w:cs="Droid Sans"/>
      <w:sz w:val="32"/>
      <w:szCs w:val="20"/>
      <w:lang w:bidi="ar-SA"/>
    </w:rPr>
  </w:style>
  <w:style w:type="paragraph" w:styleId="4">
    <w:name w:val="Balloon Text"/>
    <w:basedOn w:val="1"/>
    <w:link w:val="10"/>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 w:type="paragraph" w:customStyle="1" w:styleId="13">
    <w:name w:val="_Style 12"/>
    <w:hidden/>
    <w:unhideWhenUsed/>
    <w:qFormat/>
    <w:uiPriority w:val="99"/>
    <w:rPr>
      <w:rFonts w:ascii="Times New Roman" w:hAnsi="Times New Roman" w:eastAsia="宋体" w:cs="Droid Sans"/>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9</Pages>
  <Words>427</Words>
  <Characters>2437</Characters>
  <Lines>20</Lines>
  <Paragraphs>5</Paragraphs>
  <TotalTime>0</TotalTime>
  <ScaleCrop>false</ScaleCrop>
  <LinksUpToDate>false</LinksUpToDate>
  <CharactersWithSpaces>2859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2024-02-29T07:25:00Z</dcterms:created>
  <dc:creator>马荣丽</dc:creator>
  <cp:lastModifiedBy>18500299229</cp:lastModifiedBy>
  <cp:lastPrinted>2024-03-06T07:42:00Z</cp:lastPrinted>
  <dcterms:modified xsi:type="dcterms:W3CDTF">2024-03-11T16:05:36Z</dcterms:modified>
  <dc:title>处领导：</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89B5056B08EC48C393EAA6F8869281FF_13</vt:lpwstr>
  </property>
</Properties>
</file>