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p>
    <w:p>
      <w:pPr>
        <w:spacing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市委教育工委市教委综合事务中心</w:t>
      </w:r>
    </w:p>
    <w:p>
      <w:pPr>
        <w:spacing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2024年度单位预算信息公开</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pStyle w:val="2"/>
        <w:rPr>
          <w:color w:val="000000"/>
        </w:rPr>
      </w:pP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2024年度单位预算情况说明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2024年度单位预算报表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rPr>
          <w:rFonts w:ascii="方正小标宋简体" w:eastAsia="方正小标宋简体"/>
          <w:color w:val="000000"/>
          <w:sz w:val="36"/>
          <w:szCs w:val="36"/>
        </w:rPr>
      </w:pPr>
    </w:p>
    <w:p>
      <w:pPr>
        <w:pStyle w:val="2"/>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2024年度单位预算情况说明</w:t>
      </w:r>
    </w:p>
    <w:p>
      <w:pPr>
        <w:spacing w:line="360" w:lineRule="auto"/>
        <w:rPr>
          <w:rFonts w:ascii="仿宋_GB2312" w:eastAsia="仿宋_GB2312"/>
          <w:color w:val="000000"/>
          <w:sz w:val="32"/>
          <w:szCs w:val="32"/>
        </w:rPr>
      </w:pP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一、单位情况说明</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snapToGrid w:val="0"/>
        <w:spacing w:line="560" w:lineRule="exact"/>
        <w:ind w:firstLine="640" w:firstLineChars="200"/>
        <w:rPr>
          <w:rFonts w:ascii="仿宋_GB2312" w:hAnsi="仿宋" w:eastAsia="仿宋_GB2312"/>
          <w:sz w:val="32"/>
          <w:szCs w:val="32"/>
        </w:rPr>
      </w:pPr>
      <w:r>
        <w:rPr>
          <w:rFonts w:hint="eastAsia" w:ascii="仿宋_GB2312" w:eastAsia="仿宋_GB2312"/>
          <w:sz w:val="32"/>
          <w:szCs w:val="32"/>
        </w:rPr>
        <w:t>市委教育工委市教委综合事务中心</w:t>
      </w:r>
      <w:r>
        <w:rPr>
          <w:rFonts w:hint="eastAsia" w:ascii="仿宋_GB2312" w:hAnsi="仿宋" w:eastAsia="仿宋_GB2312"/>
          <w:sz w:val="32"/>
          <w:szCs w:val="32"/>
        </w:rPr>
        <w:t>为公益一类事业单位，主要职责是为市委教育工委、市教委机关提供综合服务保障。</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（二）机构设置情况</w:t>
      </w:r>
    </w:p>
    <w:p>
      <w:pPr>
        <w:suppressAutoHyphens/>
        <w:snapToGrid w:val="0"/>
        <w:spacing w:line="560" w:lineRule="exact"/>
        <w:ind w:firstLine="640" w:firstLineChars="200"/>
        <w:jc w:val="left"/>
        <w:rPr>
          <w:rFonts w:ascii="仿宋_GB2312" w:hAnsi="仿宋" w:eastAsia="仿宋_GB2312"/>
          <w:sz w:val="32"/>
          <w:szCs w:val="32"/>
        </w:rPr>
      </w:pPr>
      <w:r>
        <w:rPr>
          <w:rFonts w:hint="eastAsia" w:ascii="仿宋_GB2312" w:eastAsia="仿宋_GB2312"/>
          <w:sz w:val="32"/>
          <w:szCs w:val="32"/>
        </w:rPr>
        <w:t>市委教育工委市教委综合事务中心内</w:t>
      </w:r>
      <w:r>
        <w:rPr>
          <w:rFonts w:hint="eastAsia" w:ascii="仿宋_GB2312" w:hAnsi="仿宋" w:eastAsia="仿宋_GB2312"/>
          <w:sz w:val="32"/>
          <w:szCs w:val="32"/>
        </w:rPr>
        <w:t>设5个机构，分别是办公室、财务科、物资管理科、综合服务科、公车管理科。</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（三）人员编制及实有情况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市委教育工委市教委综合事务中心行政编制0人，实际0人；事业编制42人，实际28人；聘用人员（其他聘用人员--临时工）14人。离退休人员30人，其中：离休0人，退休30人。</w:t>
      </w:r>
    </w:p>
    <w:p>
      <w:pPr>
        <w:spacing w:line="560" w:lineRule="exact"/>
        <w:ind w:firstLine="640" w:firstLineChars="200"/>
        <w:rPr>
          <w:rFonts w:ascii="仿宋_GB2312" w:eastAsia="仿宋_GB2312"/>
          <w:color w:val="000000"/>
          <w:sz w:val="32"/>
          <w:szCs w:val="32"/>
        </w:rPr>
      </w:pPr>
      <w:r>
        <w:rPr>
          <w:rFonts w:hint="eastAsia" w:ascii="黑体" w:eastAsia="黑体"/>
          <w:color w:val="000000"/>
          <w:sz w:val="32"/>
          <w:szCs w:val="32"/>
        </w:rPr>
        <w:t>二、收入预算情况说明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2024年度收入预算</w:t>
      </w:r>
      <w:r>
        <w:rPr>
          <w:rFonts w:ascii="仿宋_GB2312" w:eastAsia="仿宋_GB2312"/>
          <w:sz w:val="32"/>
          <w:szCs w:val="32"/>
        </w:rPr>
        <w:t>1315.8</w:t>
      </w:r>
      <w:r>
        <w:rPr>
          <w:rFonts w:hint="eastAsia" w:ascii="仿宋_GB2312" w:eastAsia="仿宋_GB2312"/>
          <w:sz w:val="32"/>
          <w:szCs w:val="32"/>
        </w:rPr>
        <w:t>2万元，比2023年年初预算数</w:t>
      </w:r>
      <w:r>
        <w:rPr>
          <w:rFonts w:ascii="仿宋_GB2312" w:eastAsia="仿宋_GB2312"/>
          <w:sz w:val="32"/>
          <w:szCs w:val="32"/>
        </w:rPr>
        <w:t>1193.63</w:t>
      </w:r>
      <w:r>
        <w:rPr>
          <w:rFonts w:hint="eastAsia" w:ascii="仿宋_GB2312" w:eastAsia="仿宋_GB2312"/>
          <w:sz w:val="32"/>
          <w:szCs w:val="32"/>
        </w:rPr>
        <w:t>万元增加122.19万元，增长10.24%。主要原因是：根据事业发展需要</w:t>
      </w:r>
      <w:r>
        <w:rPr>
          <w:rFonts w:hint="eastAsia" w:ascii="仿宋_GB2312" w:eastAsia="仿宋_GB2312"/>
          <w:sz w:val="32"/>
          <w:szCs w:val="32"/>
          <w:lang w:eastAsia="zh-CN"/>
        </w:rPr>
        <w:t>增加</w:t>
      </w:r>
      <w:r>
        <w:rPr>
          <w:rFonts w:hint="eastAsia" w:ascii="仿宋_GB2312" w:eastAsia="仿宋_GB2312"/>
          <w:sz w:val="32"/>
          <w:szCs w:val="32"/>
        </w:rPr>
        <w:t>预算安排。</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（一）本年财政拨款收入</w:t>
      </w:r>
      <w:r>
        <w:rPr>
          <w:rFonts w:ascii="楷体_GB2312" w:eastAsia="楷体_GB2312"/>
          <w:sz w:val="32"/>
          <w:szCs w:val="32"/>
        </w:rPr>
        <w:t>1302.2</w:t>
      </w:r>
      <w:r>
        <w:rPr>
          <w:rFonts w:hint="eastAsia" w:ascii="楷体_GB2312" w:eastAsia="楷体_GB2312"/>
          <w:sz w:val="32"/>
          <w:szCs w:val="32"/>
        </w:rPr>
        <w:t>2万元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1.一般公共预算拨款收入</w:t>
      </w:r>
      <w:r>
        <w:rPr>
          <w:rFonts w:ascii="楷体_GB2312" w:eastAsia="楷体_GB2312"/>
          <w:sz w:val="32"/>
          <w:szCs w:val="32"/>
        </w:rPr>
        <w:t>1302.2</w:t>
      </w:r>
      <w:r>
        <w:rPr>
          <w:rFonts w:hint="eastAsia" w:ascii="楷体_GB2312" w:eastAsia="楷体_GB2312"/>
          <w:sz w:val="32"/>
          <w:szCs w:val="32"/>
        </w:rPr>
        <w:t>2</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2.政府性基金预算拨款收入0万元。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3.国有资本经营预算拨款收入0万元。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（二）本年其他资金收入1.10万元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4.财政专户管理资金收入0万元。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5.事业收入0万元。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6.上级补助收入0万元。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7.附属单位上缴收入0万元。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8.事业单位经营收入0万元。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9.其他收入1.10万元。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（三）上年结转结余12.50万元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10.上年结转结余12.50万元。</w:t>
      </w:r>
    </w:p>
    <w:p>
      <w:pPr>
        <w:pStyle w:val="2"/>
        <w:ind w:left="424" w:leftChars="202"/>
      </w:pPr>
      <w:r>
        <w:drawing>
          <wp:inline distT="0" distB="0" distL="0" distR="0">
            <wp:extent cx="4572000" cy="2743200"/>
            <wp:effectExtent l="4445" t="4445" r="8255" b="8255"/>
            <wp:docPr id="41098525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2"/>
        <w:jc w:val="center"/>
        <w:rPr>
          <w:rFonts w:ascii="仿宋_GB2312" w:eastAsia="仿宋_GB2312"/>
          <w:b w:val="0"/>
          <w:bCs w:val="0"/>
          <w:sz w:val="32"/>
        </w:rPr>
      </w:pPr>
      <w:r>
        <w:rPr>
          <w:rFonts w:hint="eastAsia" w:ascii="仿宋_GB2312" w:eastAsia="仿宋_GB2312"/>
          <w:sz w:val="32"/>
        </w:rPr>
        <w:t>图1：收入预算</w:t>
      </w:r>
    </w:p>
    <w:p>
      <w:pPr>
        <w:spacing w:line="560" w:lineRule="exact"/>
        <w:ind w:firstLine="640" w:firstLineChars="200"/>
        <w:rPr>
          <w:rFonts w:ascii="黑体" w:eastAsia="黑体"/>
          <w:sz w:val="32"/>
          <w:szCs w:val="32"/>
        </w:rPr>
      </w:pPr>
      <w:r>
        <w:rPr>
          <w:rFonts w:hint="eastAsia" w:ascii="黑体" w:eastAsia="黑体"/>
          <w:sz w:val="32"/>
          <w:szCs w:val="32"/>
        </w:rPr>
        <w:t>三、支出预算情况说明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2024年支出预算1315.82万元，比2023年年初预算数1193.63万元增加122.19万元，增长10.24%。主要原因是根据事业发展需要</w:t>
      </w:r>
      <w:r>
        <w:rPr>
          <w:rFonts w:hint="eastAsia" w:ascii="仿宋_GB2312" w:eastAsia="仿宋_GB2312"/>
          <w:sz w:val="32"/>
          <w:szCs w:val="32"/>
          <w:lang w:eastAsia="zh-CN"/>
        </w:rPr>
        <w:t>增加</w:t>
      </w:r>
      <w:r>
        <w:rPr>
          <w:rFonts w:hint="eastAsia" w:ascii="仿宋_GB2312" w:eastAsia="仿宋_GB2312"/>
          <w:sz w:val="32"/>
          <w:szCs w:val="32"/>
        </w:rPr>
        <w:t>预算安排。</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基本支出预算1233.33万元，占总支出预算93.73%，比2023年年初预算数1189.53万元增加43.80万元，增长3.68%。</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项目支出预算82.49万元，比2023年年初预算数4.10万元增加78.39万元，增长1911.95%。其中：</w:t>
      </w:r>
    </w:p>
    <w:p>
      <w:pPr>
        <w:spacing w:line="560" w:lineRule="exact"/>
        <w:ind w:firstLine="640"/>
        <w:rPr>
          <w:rFonts w:ascii="仿宋_GB2312" w:eastAsia="仿宋_GB2312"/>
          <w:sz w:val="32"/>
          <w:szCs w:val="32"/>
        </w:rPr>
      </w:pPr>
      <w:r>
        <w:rPr>
          <w:rFonts w:hint="eastAsia" w:ascii="仿宋_GB2312" w:eastAsia="仿宋_GB2312"/>
          <w:sz w:val="32"/>
          <w:szCs w:val="32"/>
        </w:rPr>
        <w:t>1.事业单位经营支出0万元。</w:t>
      </w:r>
    </w:p>
    <w:p>
      <w:pPr>
        <w:spacing w:line="560" w:lineRule="exact"/>
        <w:ind w:firstLine="640"/>
        <w:rPr>
          <w:rFonts w:ascii="仿宋_GB2312" w:eastAsia="仿宋_GB2312"/>
          <w:sz w:val="32"/>
          <w:szCs w:val="32"/>
        </w:rPr>
      </w:pPr>
      <w:r>
        <w:rPr>
          <w:rFonts w:hint="eastAsia" w:ascii="仿宋_GB2312" w:eastAsia="仿宋_GB2312"/>
          <w:sz w:val="32"/>
          <w:szCs w:val="32"/>
        </w:rPr>
        <w:t>2.上缴上级支出0万元。</w:t>
      </w:r>
    </w:p>
    <w:p>
      <w:pPr>
        <w:spacing w:line="560" w:lineRule="exact"/>
        <w:ind w:firstLine="640"/>
        <w:rPr>
          <w:rFonts w:ascii="仿宋_GB2312" w:eastAsia="仿宋_GB2312"/>
          <w:sz w:val="32"/>
          <w:szCs w:val="32"/>
        </w:rPr>
      </w:pPr>
      <w:r>
        <w:rPr>
          <w:rFonts w:hint="eastAsia" w:ascii="仿宋_GB2312" w:eastAsia="仿宋_GB2312"/>
          <w:sz w:val="32"/>
          <w:szCs w:val="32"/>
        </w:rPr>
        <w:t>3.对附属单位补助支出0万元。</w:t>
      </w:r>
    </w:p>
    <w:p>
      <w:pPr>
        <w:pStyle w:val="2"/>
        <w:ind w:firstLine="642"/>
        <w:jc w:val="center"/>
      </w:pPr>
      <w:r>
        <w:drawing>
          <wp:inline distT="0" distB="0" distL="0" distR="0">
            <wp:extent cx="4572000" cy="2743200"/>
            <wp:effectExtent l="4445" t="4445" r="8255" b="8255"/>
            <wp:docPr id="16743360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ind w:firstLine="642"/>
        <w:jc w:val="center"/>
      </w:pPr>
      <w:r>
        <w:rPr>
          <w:rFonts w:hint="eastAsia" w:ascii="仿宋_GB2312" w:eastAsia="仿宋_GB2312"/>
          <w:sz w:val="32"/>
        </w:rPr>
        <w:t>图2：基本支出和项目支出情况</w:t>
      </w:r>
    </w:p>
    <w:p>
      <w:pPr>
        <w:numPr>
          <w:ilvl w:val="0"/>
          <w:numId w:val="1"/>
        </w:numPr>
        <w:spacing w:line="56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年终结转结余资金0万元</w:t>
      </w:r>
    </w:p>
    <w:p>
      <w:pPr>
        <w:spacing w:line="560" w:lineRule="exact"/>
        <w:ind w:firstLine="640" w:firstLineChars="200"/>
        <w:rPr>
          <w:rFonts w:ascii="黑体" w:eastAsia="黑体"/>
          <w:sz w:val="32"/>
          <w:szCs w:val="32"/>
        </w:rPr>
      </w:pPr>
      <w:r>
        <w:rPr>
          <w:rFonts w:hint="eastAsia" w:ascii="黑体" w:eastAsia="黑体"/>
          <w:sz w:val="32"/>
          <w:szCs w:val="32"/>
        </w:rPr>
        <w:t>四、财政拨款“三公”经费预算情况说明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（一）“三公”经费的单位范围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市委教育工委市教委综合事务中心因公出国（境）费用、公务接待费、公务用车购置和运行维护费开支单位包括1个所属单位。其他所属单位2024年无财政拨款安排的“三公”经费预算。</w:t>
      </w:r>
    </w:p>
    <w:p>
      <w:pPr>
        <w:numPr>
          <w:ilvl w:val="0"/>
          <w:numId w:val="2"/>
        </w:numPr>
        <w:spacing w:line="560" w:lineRule="exact"/>
        <w:ind w:firstLine="640" w:firstLineChars="200"/>
        <w:rPr>
          <w:rFonts w:ascii="楷体_GB2312" w:eastAsia="楷体_GB2312"/>
          <w:sz w:val="32"/>
          <w:szCs w:val="32"/>
        </w:rPr>
      </w:pPr>
      <w:r>
        <w:rPr>
          <w:rFonts w:hint="eastAsia" w:ascii="楷体_GB2312" w:eastAsia="楷体_GB2312"/>
          <w:sz w:val="32"/>
          <w:szCs w:val="32"/>
        </w:rPr>
        <w:t>财政拨款“三公”经费预算情况说明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2024年财政拨款“三公”经费预算2.50万元，比2023年财政拨款“三公”经费预算增加2.50万元。其中：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1.因公出国（境）费用。2024年预算数0万元，与2023年持平。</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2.公务接待费。2024年预算数0万元，与2023年持平。</w:t>
      </w:r>
    </w:p>
    <w:p>
      <w:pPr>
        <w:spacing w:line="560" w:lineRule="exact"/>
        <w:ind w:firstLine="640" w:firstLineChars="200"/>
        <w:rPr>
          <w:rFonts w:ascii="仿宋_GB2312" w:eastAsia="仿宋_GB2312"/>
          <w:color w:val="1F3864"/>
          <w:sz w:val="24"/>
          <w:highlight w:val="yellow"/>
        </w:rPr>
      </w:pPr>
      <w:r>
        <w:rPr>
          <w:rFonts w:hint="eastAsia" w:ascii="仿宋_GB2312" w:eastAsia="仿宋_GB2312"/>
          <w:sz w:val="32"/>
          <w:szCs w:val="32"/>
        </w:rPr>
        <w:t>3.公务用车购置和运行维护费。2024年预算数2.50万元，包括：公务用车购置费2024年预算数</w:t>
      </w:r>
      <w:r>
        <w:rPr>
          <w:rFonts w:ascii="仿宋_GB2312" w:eastAsia="仿宋_GB2312"/>
          <w:sz w:val="32"/>
          <w:szCs w:val="32"/>
        </w:rPr>
        <w:t>0</w:t>
      </w:r>
      <w:r>
        <w:rPr>
          <w:rFonts w:hint="eastAsia" w:ascii="仿宋_GB2312" w:eastAsia="仿宋_GB2312"/>
          <w:sz w:val="32"/>
          <w:szCs w:val="32"/>
        </w:rPr>
        <w:t>万元，与2023年持平；公务用车运行维护费2024年预算数2.50万元，其中：公务用车燃油1.32万元，公务用车维修0.43万元，公务用车保险0.42万元，其他支出0.33万元。公务用车运行维护费2024年预算数比2023年年初预算数0万元增加2.50万元，主要原因：根据事业发展</w:t>
      </w:r>
      <w:bookmarkStart w:id="1" w:name="_GoBack"/>
      <w:bookmarkEnd w:id="1"/>
      <w:r>
        <w:rPr>
          <w:rFonts w:hint="eastAsia" w:ascii="仿宋_GB2312" w:eastAsia="仿宋_GB2312"/>
          <w:sz w:val="32"/>
          <w:szCs w:val="32"/>
          <w:lang w:eastAsia="zh-CN"/>
        </w:rPr>
        <w:t>需要，</w:t>
      </w:r>
      <w:r>
        <w:rPr>
          <w:rFonts w:hint="eastAsia" w:ascii="仿宋_GB2312" w:eastAsia="仿宋_GB2312"/>
          <w:sz w:val="32"/>
          <w:szCs w:val="32"/>
        </w:rPr>
        <w:t>经费</w:t>
      </w:r>
      <w:r>
        <w:rPr>
          <w:rFonts w:hint="eastAsia" w:ascii="仿宋_GB2312" w:eastAsia="仿宋_GB2312"/>
          <w:sz w:val="32"/>
          <w:szCs w:val="32"/>
          <w:lang w:eastAsia="zh-CN"/>
        </w:rPr>
        <w:t>有所增加</w:t>
      </w:r>
      <w:r>
        <w:rPr>
          <w:rFonts w:hint="eastAsia" w:ascii="仿宋_GB2312" w:eastAsia="仿宋_GB2312"/>
          <w:sz w:val="32"/>
          <w:szCs w:val="32"/>
        </w:rPr>
        <w:t>。</w:t>
      </w:r>
    </w:p>
    <w:p>
      <w:pPr>
        <w:spacing w:line="560" w:lineRule="exact"/>
        <w:ind w:firstLine="640" w:firstLineChars="200"/>
        <w:rPr>
          <w:rFonts w:ascii="黑体" w:eastAsia="黑体"/>
          <w:sz w:val="32"/>
          <w:szCs w:val="32"/>
        </w:rPr>
      </w:pPr>
      <w:r>
        <w:rPr>
          <w:rFonts w:hint="eastAsia" w:ascii="黑体" w:eastAsia="黑体"/>
          <w:sz w:val="32"/>
          <w:szCs w:val="32"/>
        </w:rPr>
        <w:t>五、其他情况说明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（一）政府采购预算说明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2024年市委教育工委市教委综合事务中心政府采购预算总额27.85万元，其中：政府采购货物预算26.10万元，政府采购工程预算0万元，政府采购服务预算1.75万元。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（二）政府购买服务预算说明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本单位2024年无政府购买服务预算。</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（三）机关运行经费说明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我单位不在机关运行经费统计范围之内。</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（四）项目支出绩效目标情况说明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2024年，市委教育工委市教委综合事务中心填报绩效目标的预算项目4个，占本单位本年预算项目4个的100%。填报绩效目标的项目支出预算82.49万元，占本单位本年项目支出预算的100%。</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（五）重点行政事业性收费情况说明</w:t>
      </w:r>
    </w:p>
    <w:p>
      <w:pPr>
        <w:spacing w:line="560" w:lineRule="exact"/>
        <w:ind w:firstLine="480" w:firstLineChars="150"/>
        <w:rPr>
          <w:rFonts w:ascii="仿宋_GB2312" w:eastAsia="仿宋_GB2312"/>
          <w:sz w:val="32"/>
          <w:szCs w:val="32"/>
        </w:rPr>
      </w:pPr>
      <w:r>
        <w:rPr>
          <w:rFonts w:hint="eastAsia" w:ascii="仿宋_GB2312" w:eastAsia="仿宋_GB2312"/>
          <w:sz w:val="32"/>
          <w:szCs w:val="32"/>
        </w:rPr>
        <w:t>本单位2024年无重点行政事业性收费。</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本单位2024</w:t>
      </w:r>
      <w:r>
        <w:rPr>
          <w:rFonts w:hint="eastAsia" w:ascii="仿宋_GB2312" w:eastAsia="仿宋_GB2312"/>
          <w:color w:val="000000"/>
          <w:sz w:val="32"/>
          <w:szCs w:val="32"/>
        </w:rPr>
        <w:t>年无国有资本经营预算财政拨款安排的预算。</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截至2023年底，</w:t>
      </w:r>
      <w:r>
        <w:rPr>
          <w:rFonts w:hint="eastAsia" w:ascii="仿宋_GB2312" w:eastAsia="仿宋_GB2312"/>
          <w:sz w:val="32"/>
          <w:szCs w:val="32"/>
        </w:rPr>
        <w:t>市委教育工委市教委综合事务中心</w:t>
      </w:r>
      <w:r>
        <w:rPr>
          <w:rFonts w:hint="eastAsia" w:ascii="仿宋_GB2312" w:eastAsia="仿宋_GB2312"/>
          <w:color w:val="000000"/>
          <w:sz w:val="32"/>
          <w:szCs w:val="32"/>
        </w:rPr>
        <w:t>共有车辆0台，共计0万元；单位价值50万元以上的设备0台（套）、共计0万元。2024年预算安排中，购置单位价值50万元以上的设备0台（套），共计0万元。</w:t>
      </w:r>
    </w:p>
    <w:p>
      <w:pPr>
        <w:numPr>
          <w:ilvl w:val="0"/>
          <w:numId w:val="3"/>
        </w:numPr>
        <w:spacing w:line="560" w:lineRule="exact"/>
        <w:ind w:firstLine="640" w:firstLineChars="200"/>
        <w:rPr>
          <w:rFonts w:ascii="黑体" w:eastAsia="黑体"/>
          <w:color w:val="000000"/>
          <w:sz w:val="32"/>
          <w:szCs w:val="32"/>
        </w:rPr>
      </w:pPr>
      <w:r>
        <w:rPr>
          <w:rFonts w:hint="eastAsia" w:ascii="黑体" w:eastAsia="黑体"/>
          <w:color w:val="000000"/>
          <w:sz w:val="32"/>
          <w:szCs w:val="32"/>
        </w:rPr>
        <w:t>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方正小标宋简体" w:eastAsia="方正小标宋简体"/>
          <w:color w:val="000000"/>
          <w:sz w:val="36"/>
          <w:szCs w:val="36"/>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pStyle w:val="2"/>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2024年度单位预算报表</w:t>
      </w:r>
    </w:p>
    <w:p>
      <w:pPr>
        <w:autoSpaceDE w:val="0"/>
        <w:autoSpaceDN w:val="0"/>
        <w:adjustRightInd w:val="0"/>
        <w:spacing w:line="560" w:lineRule="exact"/>
        <w:jc w:val="left"/>
        <w:rPr>
          <w:rFonts w:ascii="方正小标宋简体" w:eastAsia="方正小标宋简体"/>
          <w:color w:val="000000"/>
          <w:sz w:val="36"/>
          <w:szCs w:val="36"/>
        </w:rPr>
      </w:pP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附件：</w:t>
      </w:r>
      <w:r>
        <w:rPr>
          <w:rFonts w:hint="eastAsia" w:ascii="仿宋_GB2312" w:eastAsia="仿宋_GB2312"/>
          <w:sz w:val="32"/>
          <w:szCs w:val="32"/>
        </w:rPr>
        <w:t>市委教育工委市教委综合事务中心</w:t>
      </w:r>
      <w:r>
        <w:rPr>
          <w:rFonts w:hint="eastAsia" w:ascii="仿宋_GB2312" w:eastAsia="仿宋_GB2312"/>
          <w:color w:val="000000"/>
          <w:sz w:val="32"/>
          <w:szCs w:val="32"/>
        </w:rPr>
        <w:t>2024年度单位预算报表</w:t>
      </w:r>
      <w:r>
        <w:rPr>
          <w:rFonts w:hint="eastAsia" w:ascii="仿宋_GB2312" w:eastAsia="仿宋_GB2312" w:cs="宋体"/>
          <w:color w:val="000000"/>
          <w:kern w:val="0"/>
          <w:sz w:val="32"/>
          <w:szCs w:val="32"/>
          <w:lang w:val="zh-CN"/>
        </w:rPr>
        <w:t xml:space="preserve"> </w:t>
      </w:r>
    </w:p>
    <w:p>
      <w:pPr>
        <w:spacing w:line="560" w:lineRule="exact"/>
        <w:rPr>
          <w:rFonts w:ascii="仿宋_GB2312" w:eastAsia="仿宋_GB2312"/>
          <w:color w:val="000000"/>
          <w:sz w:val="32"/>
          <w:szCs w:val="32"/>
        </w:rPr>
      </w:pPr>
    </w:p>
    <w:p>
      <w:pPr>
        <w:rPr>
          <w:rFonts w:ascii="仿宋_GB2312" w:eastAsia="仿宋_GB2312"/>
          <w:sz w:val="32"/>
          <w:szCs w:val="32"/>
        </w:rPr>
      </w:pPr>
      <w:bookmarkStart w:id="0" w:name="chaosong"/>
      <w:bookmarkEnd w:id="0"/>
    </w:p>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等线"/>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txbxContent>
                    </wps:txbx>
                    <wps:bodyPr wrap="none" lIns="0" tIns="0" rIns="0" bIns="0" upright="true">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WAAAAZHJzL1BLAQIU&#10;ABQAAAAIAIdO4kDOqXm5zwAAAAUBAAAPAAAAAAAAAAEAIAAAADgAAABkcnMvZG93bnJldi54bWxQ&#10;SwECFAAUAAAACACHTuJAVHHtn7EBAABRAwAADgAAAAAAAAABACAAAAA0AQAAZHJzL2Uyb0RvYy54&#10;bWxQSwUGAAAAAAYABgBZAQAAVwUAAAAA&#10;">
              <v:fill on="f" focussize="0,0"/>
              <v:stroke on="f"/>
              <v:imagedata o:title=""/>
              <o:lock v:ext="edit" aspectratio="f"/>
              <v:textbox inset="0mm,0mm,0mm,0mm" style="mso-fit-shape-to-text:t;">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txbxContent>
              </v:textbox>
            </v:shape>
          </w:pict>
        </mc:Fallback>
      </mc:AlternateContent>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FE1DD5"/>
    <w:multiLevelType w:val="singleLevel"/>
    <w:tmpl w:val="BFFE1DD5"/>
    <w:lvl w:ilvl="0" w:tentative="0">
      <w:start w:val="2"/>
      <w:numFmt w:val="chineseCounting"/>
      <w:suff w:val="nothing"/>
      <w:lvlText w:val="（%1）"/>
      <w:lvlJc w:val="left"/>
      <w:rPr>
        <w:rFonts w:hint="eastAsia"/>
      </w:rPr>
    </w:lvl>
  </w:abstractNum>
  <w:abstractNum w:abstractNumId="1">
    <w:nsid w:val="FF2E9D19"/>
    <w:multiLevelType w:val="singleLevel"/>
    <w:tmpl w:val="FF2E9D19"/>
    <w:lvl w:ilvl="0" w:tentative="0">
      <w:start w:val="3"/>
      <w:numFmt w:val="chineseCounting"/>
      <w:suff w:val="nothing"/>
      <w:lvlText w:val="（%1）"/>
      <w:lvlJc w:val="left"/>
      <w:rPr>
        <w:rFonts w:hint="eastAsia"/>
      </w:rPr>
    </w:lvl>
  </w:abstractNum>
  <w:abstractNum w:abstractNumId="2">
    <w:nsid w:val="579DF46A"/>
    <w:multiLevelType w:val="singleLevel"/>
    <w:tmpl w:val="579DF46A"/>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xN2YyYjcyOTgxOTNjZWFiMmFlNzE5NWNhZGJiNzgifQ=="/>
  </w:docVars>
  <w:rsids>
    <w:rsidRoot w:val="00B20DDF"/>
    <w:rsid w:val="00047AEB"/>
    <w:rsid w:val="000771BB"/>
    <w:rsid w:val="00123844"/>
    <w:rsid w:val="001563F6"/>
    <w:rsid w:val="001A034B"/>
    <w:rsid w:val="002C6D2D"/>
    <w:rsid w:val="002F20F9"/>
    <w:rsid w:val="0037150E"/>
    <w:rsid w:val="00375140"/>
    <w:rsid w:val="00384033"/>
    <w:rsid w:val="003F0B26"/>
    <w:rsid w:val="004A03BE"/>
    <w:rsid w:val="004A40C3"/>
    <w:rsid w:val="004A4CD0"/>
    <w:rsid w:val="004C24BB"/>
    <w:rsid w:val="004E4308"/>
    <w:rsid w:val="004F2840"/>
    <w:rsid w:val="00511CBA"/>
    <w:rsid w:val="00593217"/>
    <w:rsid w:val="005C3EAA"/>
    <w:rsid w:val="005C634F"/>
    <w:rsid w:val="00606394"/>
    <w:rsid w:val="00616494"/>
    <w:rsid w:val="006214C5"/>
    <w:rsid w:val="00651F97"/>
    <w:rsid w:val="0068621B"/>
    <w:rsid w:val="006D2BB0"/>
    <w:rsid w:val="00757689"/>
    <w:rsid w:val="0077100B"/>
    <w:rsid w:val="007C3D26"/>
    <w:rsid w:val="007F6154"/>
    <w:rsid w:val="0086530E"/>
    <w:rsid w:val="008715CC"/>
    <w:rsid w:val="00994E19"/>
    <w:rsid w:val="009B4DB9"/>
    <w:rsid w:val="009E1108"/>
    <w:rsid w:val="009F5832"/>
    <w:rsid w:val="00A43C3F"/>
    <w:rsid w:val="00B137BC"/>
    <w:rsid w:val="00B20DDF"/>
    <w:rsid w:val="00B81367"/>
    <w:rsid w:val="00BE21AE"/>
    <w:rsid w:val="00C260A0"/>
    <w:rsid w:val="00C854D8"/>
    <w:rsid w:val="00D311C7"/>
    <w:rsid w:val="00D352C1"/>
    <w:rsid w:val="00DE2E36"/>
    <w:rsid w:val="00DF5A5B"/>
    <w:rsid w:val="00E04B7B"/>
    <w:rsid w:val="00E65BD6"/>
    <w:rsid w:val="00E664E0"/>
    <w:rsid w:val="00FE1054"/>
    <w:rsid w:val="29004583"/>
    <w:rsid w:val="51206DA9"/>
    <w:rsid w:val="64C414F5"/>
    <w:rsid w:val="6656034F"/>
    <w:rsid w:val="BEFBADB3"/>
    <w:rsid w:val="BF69FF94"/>
    <w:rsid w:val="FBDF4B10"/>
    <w:rsid w:val="FDFF0443"/>
    <w:rsid w:val="FFAE2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link w:val="10"/>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标题 2 字符"/>
    <w:basedOn w:val="7"/>
    <w:link w:val="2"/>
    <w:qFormat/>
    <w:uiPriority w:val="0"/>
    <w:rPr>
      <w:rFonts w:ascii="Cambria" w:hAnsi="Cambria" w:eastAsia="黑体" w:cs="Times New Roman"/>
      <w:b/>
      <w:bCs/>
      <w:kern w:val="0"/>
      <w:sz w:val="36"/>
      <w:szCs w:val="32"/>
    </w:rPr>
  </w:style>
  <w:style w:type="character" w:customStyle="1" w:styleId="11">
    <w:name w:val="批注框文本 字符"/>
    <w:basedOn w:val="7"/>
    <w:link w:val="3"/>
    <w:semiHidden/>
    <w:qFormat/>
    <w:uiPriority w:val="99"/>
    <w:rPr>
      <w:rFonts w:ascii="Times New Roman" w:hAnsi="Times New Roman" w:eastAsia="宋体" w:cs="Droid Sans"/>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E:\&#39044;&#31639;&#20844;&#24320;\&#39044;&#31639;&#20844;&#24320;&#26448;&#26009;--2024\&#30011;&#22270;&#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E:\&#39044;&#31639;&#20844;&#24320;\&#39044;&#31639;&#20844;&#24320;&#26448;&#26009;--2024\&#30011;&#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400" b="0" i="0" u="none" strike="noStrike" kern="1200" spc="0" baseline="0">
                <a:ln>
                  <a:noFill/>
                </a:ln>
                <a:solidFill>
                  <a:schemeClr val="tx1"/>
                </a:solidFill>
                <a:latin typeface="+mn-lt"/>
                <a:ea typeface="+mn-ea"/>
                <a:cs typeface="+mn-cs"/>
              </a:defRPr>
            </a:pPr>
            <a:r>
              <a:rPr lang="zh-CN" altLang="en-US">
                <a:ln>
                  <a:noFill/>
                </a:ln>
                <a:solidFill>
                  <a:schemeClr val="tx1"/>
                </a:solidFill>
              </a:rPr>
              <a:t>收入预算</a:t>
            </a:r>
            <a:endParaRPr lang="zh-CN" altLang="en-US">
              <a:ln>
                <a:noFill/>
              </a:ln>
              <a:solidFill>
                <a:schemeClr val="tx1"/>
              </a:solidFill>
            </a:endParaRP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2"/>
              <c:layout/>
              <c:dLblPos val="ctr"/>
              <c:showLegendKey val="false"/>
              <c:showVal val="false"/>
              <c:showCatName val="false"/>
              <c:showSerName val="false"/>
              <c:showPercent val="true"/>
              <c:showBubbleSize val="false"/>
              <c:extLst>
                <c:ext xmlns:c15="http://schemas.microsoft.com/office/drawing/2012/chart" uri="{CE6537A1-D6FC-4f65-9D91-7224C49458BB}"/>
              </c:extLst>
            </c:dLbl>
            <c:numFmt formatCode="0.00%" sourceLinked="false"/>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Sheet1!$A$1:$A$3</c:f>
              <c:strCache>
                <c:ptCount val="3"/>
                <c:pt idx="0">
                  <c:v>一般公共预算拨款收入</c:v>
                </c:pt>
                <c:pt idx="1">
                  <c:v>其他收入</c:v>
                </c:pt>
                <c:pt idx="2">
                  <c:v>上年结转结余</c:v>
                </c:pt>
              </c:strCache>
            </c:strRef>
          </c:cat>
          <c:val>
            <c:numRef>
              <c:f>Sheet1!$B$1:$B$3</c:f>
              <c:numCache>
                <c:formatCode>General</c:formatCode>
                <c:ptCount val="3"/>
                <c:pt idx="0">
                  <c:v>1302.22</c:v>
                </c:pt>
                <c:pt idx="1">
                  <c:v>1.1</c:v>
                </c:pt>
                <c:pt idx="2">
                  <c:v>12.5</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numFmt formatCode="0.00%" sourceLinked="false"/>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Sheet1!$A$26:$A$27</c:f>
              <c:strCache>
                <c:ptCount val="2"/>
                <c:pt idx="0">
                  <c:v>基本支出</c:v>
                </c:pt>
                <c:pt idx="1">
                  <c:v>项目支出</c:v>
                </c:pt>
              </c:strCache>
            </c:strRef>
          </c:cat>
          <c:val>
            <c:numRef>
              <c:f>Sheet1!$B$26:$B$27</c:f>
              <c:numCache>
                <c:formatCode>General</c:formatCode>
                <c:ptCount val="2"/>
                <c:pt idx="0">
                  <c:v>1233.33</c:v>
                </c:pt>
                <c:pt idx="1">
                  <c:v>82.49</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369</Words>
  <Characters>2104</Characters>
  <Lines>17</Lines>
  <Paragraphs>4</Paragraphs>
  <TotalTime>0</TotalTime>
  <ScaleCrop>false</ScaleCrop>
  <LinksUpToDate>false</LinksUpToDate>
  <CharactersWithSpaces>2469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2024-02-29T00:36:00Z</dcterms:created>
  <dc:creator>lx</dc:creator>
  <cp:lastModifiedBy>18500299229</cp:lastModifiedBy>
  <dcterms:modified xsi:type="dcterms:W3CDTF">2024-03-11T16:41:54Z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CCAB2C771435466385A89B8ECED7D515_13</vt:lpwstr>
  </property>
</Properties>
</file>