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北京市教育考试命题阅卷服务中心2024年度单位预算信息公开</w:t>
      </w:r>
    </w:p>
    <w:p>
      <w:pPr>
        <w:spacing w:line="240" w:lineRule="exact"/>
        <w:jc w:val="center"/>
        <w:rPr>
          <w:rFonts w:ascii="方正小标宋简体" w:eastAsia="方正小标宋简体"/>
          <w:color w:val="000000"/>
          <w:sz w:val="32"/>
          <w:szCs w:val="32"/>
        </w:rPr>
      </w:pPr>
    </w:p>
    <w:p>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2"/>
          <w:szCs w:val="32"/>
        </w:rPr>
        <w:t>目   录</w:t>
      </w:r>
    </w:p>
    <w:p>
      <w:pPr>
        <w:pStyle w:val="2"/>
        <w:rPr>
          <w:color w:val="000000"/>
        </w:rPr>
      </w:pPr>
    </w:p>
    <w:p>
      <w:pPr>
        <w:spacing w:line="240" w:lineRule="exact"/>
        <w:jc w:val="center"/>
        <w:rPr>
          <w:rFonts w:ascii="方正小标宋简体" w:eastAsia="方正小标宋简体"/>
          <w:color w:val="000000"/>
          <w:sz w:val="32"/>
          <w:szCs w:val="32"/>
        </w:rPr>
      </w:pPr>
    </w:p>
    <w:p>
      <w:pPr>
        <w:spacing w:line="560" w:lineRule="exact"/>
        <w:rPr>
          <w:rFonts w:ascii="黑体" w:hAnsi="黑体" w:eastAsia="黑体" w:cs="黑体"/>
          <w:color w:val="000000"/>
          <w:sz w:val="32"/>
          <w:szCs w:val="32"/>
        </w:rPr>
      </w:pPr>
      <w:r>
        <w:rPr>
          <w:rFonts w:hint="eastAsia" w:ascii="黑体" w:hAnsi="黑体" w:eastAsia="黑体" w:cs="黑体"/>
          <w:color w:val="000000"/>
          <w:sz w:val="32"/>
          <w:szCs w:val="32"/>
        </w:rPr>
        <w:t>第一部分 2024年度单位预算情况说明</w:t>
      </w:r>
    </w:p>
    <w:p>
      <w:pPr>
        <w:spacing w:line="560" w:lineRule="exact"/>
        <w:ind w:firstLine="640" w:firstLineChars="200"/>
        <w:rPr>
          <w:rFonts w:ascii="仿宋_GB2312" w:hAnsi="仿宋_GB2312" w:eastAsia="仿宋_GB2312" w:cs="仿宋_GB2312"/>
          <w:color w:val="000000"/>
          <w:sz w:val="32"/>
          <w:szCs w:val="32"/>
          <w:lang w:val="en"/>
        </w:rPr>
      </w:pPr>
      <w:r>
        <w:rPr>
          <w:rFonts w:hint="eastAsia" w:ascii="仿宋_GB2312" w:hAnsi="仿宋_GB2312" w:eastAsia="仿宋_GB2312" w:cs="仿宋_GB2312"/>
          <w:color w:val="000000"/>
          <w:sz w:val="32"/>
          <w:szCs w:val="32"/>
        </w:rPr>
        <w:t>一、单位情况说明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二、收入预算情况说明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三、支出预算情况说明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四、财政拨款“三公”经费预算情况说明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五、其他情况说明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六、名词解释</w:t>
      </w:r>
    </w:p>
    <w:p>
      <w:pPr>
        <w:spacing w:line="560" w:lineRule="exact"/>
        <w:rPr>
          <w:rFonts w:ascii="黑体" w:hAnsi="黑体" w:eastAsia="黑体" w:cs="黑体"/>
          <w:color w:val="000000"/>
          <w:sz w:val="32"/>
          <w:szCs w:val="32"/>
        </w:rPr>
      </w:pPr>
      <w:r>
        <w:rPr>
          <w:rFonts w:hint="eastAsia" w:ascii="黑体" w:hAnsi="黑体" w:eastAsia="黑体" w:cs="黑体"/>
          <w:color w:val="000000"/>
          <w:sz w:val="32"/>
          <w:szCs w:val="32"/>
        </w:rPr>
        <w:t>第二部分 2024年度单位预算报表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一、收支总表</w:t>
      </w:r>
    </w:p>
    <w:p>
      <w:pPr>
        <w:autoSpaceDE w:val="0"/>
        <w:autoSpaceDN w:val="0"/>
        <w:adjustRightInd w:val="0"/>
        <w:spacing w:line="560" w:lineRule="exact"/>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 xml:space="preserve">    二、收入总表    </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三、支出总表</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四、项目支出表</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五、政府采购预算明细表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六、财政拨款收支总表</w:t>
      </w:r>
    </w:p>
    <w:p>
      <w:pPr>
        <w:autoSpaceDE w:val="0"/>
        <w:autoSpaceDN w:val="0"/>
        <w:adjustRightInd w:val="0"/>
        <w:spacing w:line="560" w:lineRule="exact"/>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 xml:space="preserve">    七、一般公共预算财政拨款支出表</w:t>
      </w:r>
    </w:p>
    <w:p>
      <w:pPr>
        <w:autoSpaceDE w:val="0"/>
        <w:autoSpaceDN w:val="0"/>
        <w:adjustRightInd w:val="0"/>
        <w:spacing w:line="560" w:lineRule="exact"/>
        <w:jc w:val="left"/>
        <w:rPr>
          <w:rFonts w:ascii="仿宋_GB2312" w:hAnsi="仿宋_GB2312" w:eastAsia="仿宋_GB2312" w:cs="仿宋_GB2312"/>
          <w:color w:val="000000"/>
          <w:spacing w:val="-16"/>
          <w:kern w:val="0"/>
          <w:sz w:val="32"/>
          <w:szCs w:val="32"/>
          <w:lang w:val="zh-CN"/>
        </w:rPr>
      </w:pPr>
      <w:r>
        <w:rPr>
          <w:rFonts w:hint="eastAsia" w:ascii="仿宋_GB2312" w:hAnsi="仿宋_GB2312" w:eastAsia="仿宋_GB2312" w:cs="仿宋_GB2312"/>
          <w:color w:val="000000"/>
          <w:kern w:val="0"/>
          <w:sz w:val="32"/>
          <w:szCs w:val="32"/>
          <w:lang w:val="zh-CN"/>
        </w:rPr>
        <w:t xml:space="preserve">    </w:t>
      </w:r>
      <w:r>
        <w:rPr>
          <w:rFonts w:hint="eastAsia" w:ascii="仿宋_GB2312" w:hAnsi="仿宋_GB2312" w:eastAsia="仿宋_GB2312" w:cs="仿宋_GB2312"/>
          <w:color w:val="000000"/>
          <w:spacing w:val="-16"/>
          <w:kern w:val="0"/>
          <w:sz w:val="32"/>
          <w:szCs w:val="32"/>
          <w:lang w:val="zh-CN"/>
        </w:rPr>
        <w:t>八、一般公共预算财政拨款基本支出表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九、政府性基金预算财政拨款支出表</w:t>
      </w:r>
    </w:p>
    <w:p>
      <w:pPr>
        <w:autoSpaceDE w:val="0"/>
        <w:autoSpaceDN w:val="0"/>
        <w:adjustRightInd w:val="0"/>
        <w:spacing w:line="560" w:lineRule="exact"/>
        <w:ind w:firstLine="640" w:firstLineChars="200"/>
        <w:jc w:val="left"/>
        <w:rPr>
          <w:rFonts w:ascii="仿宋_GB2312" w:hAnsi="仿宋_GB2312" w:eastAsia="仿宋_GB2312" w:cs="仿宋_GB2312"/>
          <w:color w:val="000000"/>
          <w:spacing w:val="-16"/>
          <w:kern w:val="0"/>
          <w:sz w:val="32"/>
          <w:szCs w:val="32"/>
          <w:lang w:val="zh-CN"/>
        </w:rPr>
      </w:pPr>
      <w:r>
        <w:rPr>
          <w:rFonts w:hint="eastAsia" w:ascii="仿宋_GB2312" w:hAnsi="仿宋_GB2312" w:eastAsia="仿宋_GB2312" w:cs="仿宋_GB2312"/>
          <w:color w:val="000000"/>
          <w:kern w:val="0"/>
          <w:sz w:val="32"/>
          <w:szCs w:val="32"/>
          <w:lang w:val="zh-CN"/>
        </w:rPr>
        <w:t>十、国有资本经营预算财政拨款支出表</w:t>
      </w:r>
    </w:p>
    <w:p>
      <w:pPr>
        <w:autoSpaceDE w:val="0"/>
        <w:autoSpaceDN w:val="0"/>
        <w:adjustRightInd w:val="0"/>
        <w:spacing w:line="560" w:lineRule="exact"/>
        <w:ind w:firstLine="576"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spacing w:val="-16"/>
          <w:kern w:val="0"/>
          <w:sz w:val="32"/>
          <w:szCs w:val="32"/>
          <w:lang w:val="zh-CN"/>
        </w:rPr>
        <w:t>十一、财政拨款</w:t>
      </w:r>
      <w:r>
        <w:rPr>
          <w:rFonts w:hint="eastAsia" w:ascii="仿宋_GB2312" w:hAnsi="仿宋_GB2312" w:eastAsia="仿宋_GB2312" w:cs="仿宋_GB2312"/>
          <w:color w:val="000000"/>
          <w:kern w:val="0"/>
          <w:sz w:val="32"/>
          <w:szCs w:val="32"/>
          <w:lang w:val="zh-CN"/>
        </w:rPr>
        <w:t>“三公”经费支出表</w:t>
      </w:r>
    </w:p>
    <w:p>
      <w:pPr>
        <w:autoSpaceDE w:val="0"/>
        <w:autoSpaceDN w:val="0"/>
        <w:adjustRightInd w:val="0"/>
        <w:spacing w:line="560" w:lineRule="exact"/>
        <w:ind w:firstLine="568"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spacing w:val="-18"/>
          <w:kern w:val="0"/>
          <w:sz w:val="32"/>
          <w:szCs w:val="32"/>
          <w:lang w:val="zh-CN"/>
        </w:rPr>
        <w:t>十</w:t>
      </w:r>
      <w:r>
        <w:rPr>
          <w:rFonts w:hint="eastAsia" w:ascii="仿宋_GB2312" w:hAnsi="仿宋_GB2312" w:eastAsia="仿宋_GB2312" w:cs="仿宋_GB2312"/>
          <w:color w:val="000000"/>
          <w:kern w:val="0"/>
          <w:sz w:val="32"/>
          <w:szCs w:val="32"/>
          <w:lang w:val="zh-CN"/>
        </w:rPr>
        <w:t>二、政府购买服务预算财政拨款明细表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十三、项目支出绩效目标表</w:t>
      </w:r>
    </w:p>
    <w:p>
      <w:pPr>
        <w:spacing w:line="560" w:lineRule="exact"/>
        <w:jc w:val="left"/>
        <w:rPr>
          <w:rFonts w:ascii="仿宋_GB2312" w:eastAsia="仿宋_GB2312"/>
          <w:color w:val="1F3864"/>
          <w:sz w:val="24"/>
        </w:rPr>
      </w:pP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6"/>
          <w:szCs w:val="36"/>
        </w:rPr>
        <w:t>第一部分  2024年度单位预算情况说明</w:t>
      </w:r>
    </w:p>
    <w:p>
      <w:pPr>
        <w:spacing w:line="560" w:lineRule="exact"/>
        <w:ind w:firstLine="640" w:firstLineChars="200"/>
        <w:rPr>
          <w:rFonts w:hint="eastAsia" w:ascii="黑体" w:eastAsia="黑体"/>
          <w:color w:val="00000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eastAsia="黑体"/>
          <w:color w:val="000000"/>
          <w:sz w:val="32"/>
          <w:szCs w:val="32"/>
        </w:rPr>
      </w:pPr>
      <w:r>
        <w:rPr>
          <w:rFonts w:hint="eastAsia" w:ascii="黑体" w:eastAsia="黑体"/>
          <w:color w:val="000000"/>
          <w:sz w:val="32"/>
          <w:szCs w:val="32"/>
        </w:rPr>
        <w:t>一、单位情况说明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color w:val="000000"/>
          <w:sz w:val="32"/>
          <w:szCs w:val="32"/>
        </w:rPr>
      </w:pPr>
      <w:r>
        <w:rPr>
          <w:rFonts w:hint="eastAsia" w:ascii="楷体_GB2312" w:eastAsia="楷体_GB2312"/>
          <w:color w:val="000000"/>
          <w:sz w:val="32"/>
          <w:szCs w:val="32"/>
        </w:rPr>
        <w:t>（一）本单位性质、职责等情况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000000"/>
          <w:sz w:val="32"/>
          <w:szCs w:val="32"/>
        </w:rPr>
      </w:pPr>
      <w:r>
        <w:rPr>
          <w:rFonts w:hint="eastAsia" w:ascii="仿宋_GB2312" w:eastAsia="仿宋_GB2312"/>
          <w:sz w:val="32"/>
          <w:szCs w:val="32"/>
        </w:rPr>
        <w:t>北京市教育考试命题阅卷服务中心为公益二类事业单位，主要职责为</w:t>
      </w:r>
      <w:r>
        <w:rPr>
          <w:rFonts w:hint="eastAsia" w:ascii="仿宋_GB2312" w:eastAsia="仿宋_GB2312"/>
          <w:color w:val="000000"/>
          <w:sz w:val="32"/>
          <w:szCs w:val="32"/>
        </w:rPr>
        <w:t>承担北京教育考试、考试管理、阅卷、评价、招生录取等服务与支撑工作及其他事务性工作。</w:t>
      </w:r>
      <w:r>
        <w:rPr>
          <w:rFonts w:ascii="仿宋_GB2312" w:eastAsia="仿宋_GB2312"/>
          <w:color w:val="000000"/>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color w:val="000000"/>
          <w:sz w:val="32"/>
          <w:szCs w:val="32"/>
        </w:rPr>
      </w:pPr>
      <w:r>
        <w:rPr>
          <w:rFonts w:hint="eastAsia" w:ascii="楷体_GB2312" w:eastAsia="楷体_GB2312"/>
          <w:color w:val="000000"/>
          <w:sz w:val="32"/>
          <w:szCs w:val="32"/>
        </w:rPr>
        <w:t>（二）机构设置情况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FF0000"/>
          <w:sz w:val="32"/>
          <w:szCs w:val="32"/>
        </w:rPr>
      </w:pPr>
      <w:r>
        <w:rPr>
          <w:rFonts w:hint="eastAsia" w:ascii="仿宋_GB2312" w:hAnsi="宋体" w:eastAsia="仿宋_GB2312"/>
          <w:sz w:val="32"/>
          <w:szCs w:val="32"/>
        </w:rPr>
        <w:t>北京市教育考试命题阅卷服务中心</w:t>
      </w:r>
      <w:r>
        <w:rPr>
          <w:rFonts w:hint="eastAsia" w:ascii="仿宋_GB2312" w:eastAsia="仿宋_GB2312"/>
          <w:sz w:val="32"/>
          <w:szCs w:val="32"/>
        </w:rPr>
        <w:t>内设</w:t>
      </w:r>
      <w:r>
        <w:rPr>
          <w:rFonts w:ascii="仿宋_GB2312" w:eastAsia="仿宋_GB2312"/>
          <w:sz w:val="32"/>
          <w:szCs w:val="32"/>
        </w:rPr>
        <w:t>13</w:t>
      </w:r>
      <w:r>
        <w:rPr>
          <w:rFonts w:hint="eastAsia" w:ascii="仿宋_GB2312" w:eastAsia="仿宋_GB2312"/>
          <w:sz w:val="32"/>
          <w:szCs w:val="32"/>
        </w:rPr>
        <w:t>个机构，分别为：</w:t>
      </w:r>
      <w:r>
        <w:rPr>
          <w:rFonts w:hint="eastAsia" w:ascii="仿宋_GB2312" w:hAnsi="宋体" w:eastAsia="仿宋_GB2312"/>
          <w:sz w:val="32"/>
          <w:szCs w:val="32"/>
        </w:rPr>
        <w:t>综合办公室、党办、人力资源部、财务部、专项部、安保部、工程部、物资部、督导室、资料研究室、后勤管理部、物业部和审计部。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color w:val="000000"/>
          <w:sz w:val="32"/>
          <w:szCs w:val="32"/>
        </w:rPr>
      </w:pPr>
      <w:r>
        <w:rPr>
          <w:rFonts w:hint="eastAsia" w:ascii="楷体_GB2312" w:eastAsia="楷体_GB2312"/>
          <w:color w:val="000000"/>
          <w:sz w:val="32"/>
          <w:szCs w:val="32"/>
        </w:rPr>
        <w:t>（三）人员编制及实有情况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北京市教育考试命题阅卷服务中心行政编制</w:t>
      </w:r>
      <w:r>
        <w:rPr>
          <w:rFonts w:ascii="仿宋_GB2312" w:eastAsia="仿宋_GB2312"/>
          <w:color w:val="000000"/>
          <w:sz w:val="32"/>
          <w:szCs w:val="32"/>
        </w:rPr>
        <w:t>0</w:t>
      </w:r>
      <w:r>
        <w:rPr>
          <w:rFonts w:hint="eastAsia" w:ascii="仿宋_GB2312" w:eastAsia="仿宋_GB2312"/>
          <w:color w:val="000000"/>
          <w:sz w:val="32"/>
          <w:szCs w:val="32"/>
        </w:rPr>
        <w:t>人，实际</w:t>
      </w:r>
      <w:r>
        <w:rPr>
          <w:rFonts w:ascii="仿宋_GB2312" w:eastAsia="仿宋_GB2312"/>
          <w:color w:val="000000"/>
          <w:sz w:val="32"/>
          <w:szCs w:val="32"/>
        </w:rPr>
        <w:t>0</w:t>
      </w:r>
      <w:r>
        <w:rPr>
          <w:rFonts w:hint="eastAsia" w:ascii="仿宋_GB2312" w:eastAsia="仿宋_GB2312"/>
          <w:color w:val="000000"/>
          <w:sz w:val="32"/>
          <w:szCs w:val="32"/>
        </w:rPr>
        <w:t>人；事业编制</w:t>
      </w:r>
      <w:r>
        <w:rPr>
          <w:rFonts w:ascii="仿宋_GB2312" w:eastAsia="仿宋_GB2312"/>
          <w:color w:val="000000"/>
          <w:sz w:val="32"/>
          <w:szCs w:val="32"/>
        </w:rPr>
        <w:t>78</w:t>
      </w:r>
      <w:r>
        <w:rPr>
          <w:rFonts w:hint="eastAsia" w:ascii="仿宋_GB2312" w:eastAsia="仿宋_GB2312"/>
          <w:color w:val="000000"/>
          <w:sz w:val="32"/>
          <w:szCs w:val="32"/>
        </w:rPr>
        <w:t>人，实际</w:t>
      </w:r>
      <w:r>
        <w:rPr>
          <w:rFonts w:ascii="仿宋_GB2312" w:eastAsia="仿宋_GB2312"/>
          <w:color w:val="000000"/>
          <w:sz w:val="32"/>
          <w:szCs w:val="32"/>
        </w:rPr>
        <w:t>65</w:t>
      </w:r>
      <w:r>
        <w:rPr>
          <w:rFonts w:hint="eastAsia" w:ascii="仿宋_GB2312" w:eastAsia="仿宋_GB2312"/>
          <w:color w:val="000000"/>
          <w:sz w:val="32"/>
          <w:szCs w:val="32"/>
        </w:rPr>
        <w:t>人。离退休人员</w:t>
      </w:r>
      <w:r>
        <w:rPr>
          <w:rFonts w:ascii="仿宋_GB2312" w:eastAsia="仿宋_GB2312"/>
          <w:color w:val="000000"/>
          <w:sz w:val="32"/>
          <w:szCs w:val="32"/>
        </w:rPr>
        <w:t>37</w:t>
      </w:r>
      <w:r>
        <w:rPr>
          <w:rFonts w:hint="eastAsia" w:ascii="仿宋_GB2312" w:eastAsia="仿宋_GB2312"/>
          <w:color w:val="000000"/>
          <w:sz w:val="32"/>
          <w:szCs w:val="32"/>
        </w:rPr>
        <w:t>人，其中：离休</w:t>
      </w:r>
      <w:r>
        <w:rPr>
          <w:rFonts w:ascii="仿宋_GB2312" w:eastAsia="仿宋_GB2312"/>
          <w:color w:val="000000"/>
          <w:sz w:val="32"/>
          <w:szCs w:val="32"/>
        </w:rPr>
        <w:t>0</w:t>
      </w:r>
      <w:r>
        <w:rPr>
          <w:rFonts w:hint="eastAsia" w:ascii="仿宋_GB2312" w:eastAsia="仿宋_GB2312"/>
          <w:color w:val="000000"/>
          <w:sz w:val="32"/>
          <w:szCs w:val="32"/>
        </w:rPr>
        <w:t>人，退休</w:t>
      </w:r>
      <w:r>
        <w:rPr>
          <w:rFonts w:ascii="仿宋_GB2312" w:eastAsia="仿宋_GB2312"/>
          <w:color w:val="000000"/>
          <w:sz w:val="32"/>
          <w:szCs w:val="32"/>
        </w:rPr>
        <w:t>37</w:t>
      </w:r>
      <w:r>
        <w:rPr>
          <w:rFonts w:hint="eastAsia" w:ascii="仿宋_GB2312" w:eastAsia="仿宋_GB2312"/>
          <w:color w:val="000000"/>
          <w:sz w:val="32"/>
          <w:szCs w:val="32"/>
        </w:rPr>
        <w:t>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1F3864"/>
          <w:sz w:val="24"/>
        </w:rPr>
      </w:pPr>
      <w:r>
        <w:rPr>
          <w:rFonts w:hint="eastAsia" w:ascii="黑体" w:eastAsia="黑体"/>
          <w:color w:val="000000"/>
          <w:sz w:val="32"/>
          <w:szCs w:val="32"/>
        </w:rPr>
        <w:t>二、收入预算情况说明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2024年度收入预算</w:t>
      </w:r>
      <w:r>
        <w:rPr>
          <w:rFonts w:ascii="仿宋_GB2312" w:eastAsia="仿宋_GB2312"/>
          <w:sz w:val="32"/>
          <w:szCs w:val="32"/>
        </w:rPr>
        <w:t>2717.61</w:t>
      </w:r>
      <w:r>
        <w:rPr>
          <w:rFonts w:hint="eastAsia" w:ascii="仿宋_GB2312" w:eastAsia="仿宋_GB2312"/>
          <w:sz w:val="32"/>
          <w:szCs w:val="32"/>
        </w:rPr>
        <w:t>万元，比2023年年初预算数</w:t>
      </w:r>
      <w:r>
        <w:rPr>
          <w:rFonts w:ascii="仿宋_GB2312" w:eastAsia="仿宋_GB2312"/>
          <w:sz w:val="32"/>
          <w:szCs w:val="32"/>
        </w:rPr>
        <w:t>3293.69</w:t>
      </w:r>
      <w:r>
        <w:rPr>
          <w:rFonts w:hint="eastAsia" w:ascii="仿宋_GB2312" w:eastAsia="仿宋_GB2312"/>
          <w:sz w:val="32"/>
          <w:szCs w:val="32"/>
        </w:rPr>
        <w:t>万元减少</w:t>
      </w:r>
      <w:r>
        <w:rPr>
          <w:rFonts w:ascii="仿宋_GB2312" w:eastAsia="仿宋_GB2312"/>
          <w:sz w:val="32"/>
          <w:szCs w:val="32"/>
        </w:rPr>
        <w:t>576.08</w:t>
      </w:r>
      <w:r>
        <w:rPr>
          <w:rFonts w:hint="eastAsia" w:ascii="仿宋_GB2312" w:eastAsia="仿宋_GB2312"/>
          <w:sz w:val="32"/>
          <w:szCs w:val="32"/>
        </w:rPr>
        <w:t>万元，下降</w:t>
      </w:r>
      <w:r>
        <w:rPr>
          <w:rFonts w:ascii="仿宋_GB2312" w:eastAsia="仿宋_GB2312"/>
          <w:sz w:val="32"/>
          <w:szCs w:val="32"/>
        </w:rPr>
        <w:t>17.49</w:t>
      </w:r>
      <w:r>
        <w:rPr>
          <w:rFonts w:hint="eastAsia" w:ascii="仿宋_GB2312" w:eastAsia="仿宋_GB2312"/>
          <w:sz w:val="32"/>
          <w:szCs w:val="32"/>
        </w:rPr>
        <w:t>%。主要原因是根据事业发展规划</w:t>
      </w:r>
      <w:r>
        <w:rPr>
          <w:rFonts w:hint="eastAsia" w:ascii="仿宋_GB2312" w:eastAsia="仿宋_GB2312"/>
          <w:sz w:val="32"/>
          <w:szCs w:val="32"/>
          <w:lang w:eastAsia="zh-CN"/>
        </w:rPr>
        <w:t>减少</w:t>
      </w:r>
      <w:r>
        <w:rPr>
          <w:rFonts w:hint="eastAsia" w:ascii="仿宋_GB2312" w:eastAsia="仿宋_GB2312"/>
          <w:sz w:val="32"/>
          <w:szCs w:val="32"/>
        </w:rPr>
        <w:t>项目</w:t>
      </w:r>
      <w:r>
        <w:rPr>
          <w:rFonts w:hint="eastAsia" w:ascii="仿宋_GB2312" w:eastAsia="仿宋_GB2312"/>
          <w:sz w:val="32"/>
          <w:szCs w:val="32"/>
          <w:lang w:eastAsia="zh-CN"/>
        </w:rPr>
        <w:t>安排</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（一）本年财政拨款收入</w:t>
      </w:r>
      <w:r>
        <w:rPr>
          <w:rFonts w:ascii="楷体_GB2312" w:eastAsia="楷体_GB2312"/>
          <w:sz w:val="32"/>
          <w:szCs w:val="32"/>
        </w:rPr>
        <w:t>2717.61</w:t>
      </w:r>
      <w:r>
        <w:rPr>
          <w:rFonts w:hint="eastAsia" w:ascii="楷体_GB2312" w:eastAsia="楷体_GB2312"/>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1.一般公共预算拨款收入</w:t>
      </w:r>
      <w:r>
        <w:rPr>
          <w:rFonts w:ascii="仿宋_GB2312" w:eastAsia="仿宋_GB2312"/>
          <w:sz w:val="32"/>
          <w:szCs w:val="32"/>
        </w:rPr>
        <w:t>2717.61</w:t>
      </w:r>
      <w:r>
        <w:rPr>
          <w:rFonts w:hint="eastAsia" w:ascii="仿宋_GB2312"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2.政府性基金预算拨款收入</w:t>
      </w:r>
      <w:r>
        <w:rPr>
          <w:rFonts w:ascii="仿宋_GB2312" w:eastAsia="仿宋_GB2312"/>
          <w:sz w:val="32"/>
          <w:szCs w:val="32"/>
        </w:rPr>
        <w:t>0</w:t>
      </w:r>
      <w:r>
        <w:rPr>
          <w:rFonts w:hint="eastAsia" w:ascii="仿宋_GB2312"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3.国有资本经营预算拨款收入</w:t>
      </w:r>
      <w:r>
        <w:rPr>
          <w:rFonts w:ascii="仿宋_GB2312" w:eastAsia="仿宋_GB2312"/>
          <w:sz w:val="32"/>
          <w:szCs w:val="32"/>
        </w:rPr>
        <w:t>0</w:t>
      </w:r>
      <w:r>
        <w:rPr>
          <w:rFonts w:hint="eastAsia" w:ascii="仿宋_GB2312"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（二）本年其他资金收入</w:t>
      </w:r>
      <w:r>
        <w:rPr>
          <w:rFonts w:ascii="楷体_GB2312" w:eastAsia="楷体_GB2312"/>
          <w:sz w:val="32"/>
          <w:szCs w:val="32"/>
        </w:rPr>
        <w:t>0</w:t>
      </w:r>
      <w:r>
        <w:rPr>
          <w:rFonts w:hint="eastAsia" w:ascii="楷体_GB2312" w:eastAsia="楷体_GB2312"/>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4.财政专户管理资金收入</w:t>
      </w:r>
      <w:r>
        <w:rPr>
          <w:rFonts w:ascii="仿宋_GB2312" w:eastAsia="仿宋_GB2312"/>
          <w:sz w:val="32"/>
          <w:szCs w:val="32"/>
        </w:rPr>
        <w:t>0</w:t>
      </w:r>
      <w:r>
        <w:rPr>
          <w:rFonts w:hint="eastAsia" w:ascii="仿宋_GB2312"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5.事业收入</w:t>
      </w:r>
      <w:r>
        <w:rPr>
          <w:rFonts w:ascii="仿宋_GB2312" w:eastAsia="仿宋_GB2312"/>
          <w:sz w:val="32"/>
          <w:szCs w:val="32"/>
        </w:rPr>
        <w:t>0</w:t>
      </w:r>
      <w:r>
        <w:rPr>
          <w:rFonts w:hint="eastAsia" w:ascii="仿宋_GB2312"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6.上级补助收入</w:t>
      </w:r>
      <w:r>
        <w:rPr>
          <w:rFonts w:ascii="仿宋_GB2312" w:eastAsia="仿宋_GB2312"/>
          <w:sz w:val="32"/>
          <w:szCs w:val="32"/>
        </w:rPr>
        <w:t>0</w:t>
      </w:r>
      <w:r>
        <w:rPr>
          <w:rFonts w:hint="eastAsia" w:ascii="仿宋_GB2312"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7.附属单位上缴收入</w:t>
      </w:r>
      <w:r>
        <w:rPr>
          <w:rFonts w:ascii="仿宋_GB2312" w:eastAsia="仿宋_GB2312"/>
          <w:sz w:val="32"/>
          <w:szCs w:val="32"/>
        </w:rPr>
        <w:t>0</w:t>
      </w:r>
      <w:r>
        <w:rPr>
          <w:rFonts w:hint="eastAsia" w:ascii="仿宋_GB2312"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8.事业单位经营收入</w:t>
      </w:r>
      <w:r>
        <w:rPr>
          <w:rFonts w:ascii="仿宋_GB2312" w:eastAsia="仿宋_GB2312"/>
          <w:sz w:val="32"/>
          <w:szCs w:val="32"/>
        </w:rPr>
        <w:t>0</w:t>
      </w:r>
      <w:r>
        <w:rPr>
          <w:rFonts w:hint="eastAsia" w:ascii="仿宋_GB2312"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9.其他收入</w:t>
      </w:r>
      <w:r>
        <w:rPr>
          <w:rFonts w:ascii="仿宋_GB2312" w:eastAsia="仿宋_GB2312"/>
          <w:sz w:val="32"/>
          <w:szCs w:val="32"/>
        </w:rPr>
        <w:t>0</w:t>
      </w:r>
      <w:r>
        <w:rPr>
          <w:rFonts w:hint="eastAsia" w:ascii="仿宋_GB2312"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（三）上年结转结余</w:t>
      </w:r>
      <w:r>
        <w:rPr>
          <w:rFonts w:ascii="楷体_GB2312" w:eastAsia="楷体_GB2312"/>
          <w:sz w:val="32"/>
          <w:szCs w:val="32"/>
        </w:rPr>
        <w:t>0</w:t>
      </w:r>
      <w:r>
        <w:rPr>
          <w:rFonts w:hint="eastAsia" w:ascii="楷体_GB2312" w:eastAsia="楷体_GB2312"/>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000000"/>
          <w:sz w:val="32"/>
          <w:szCs w:val="32"/>
        </w:rPr>
      </w:pPr>
      <w:r>
        <w:rPr>
          <w:rFonts w:hint="eastAsia" w:ascii="仿宋_GB2312" w:eastAsia="仿宋_GB2312"/>
          <w:sz w:val="32"/>
          <w:szCs w:val="32"/>
        </w:rPr>
        <w:t>10.上年结转结余</w:t>
      </w:r>
      <w:r>
        <w:rPr>
          <w:rFonts w:ascii="仿宋_GB2312" w:eastAsia="仿宋_GB2312"/>
          <w:sz w:val="32"/>
          <w:szCs w:val="32"/>
        </w:rPr>
        <w:t>0</w:t>
      </w:r>
      <w:r>
        <w:rPr>
          <w:rFonts w:hint="eastAsia" w:ascii="仿宋_GB2312" w:eastAsia="仿宋_GB2312"/>
          <w:sz w:val="32"/>
          <w:szCs w:val="32"/>
        </w:rPr>
        <w:t>万元。</w:t>
      </w:r>
    </w:p>
    <w:p>
      <w:pPr>
        <w:pStyle w:val="2"/>
        <w:jc w:val="center"/>
      </w:pPr>
      <w:r>
        <w:rPr>
          <w:rFonts w:hint="eastAsia" w:eastAsiaTheme="minorEastAsia"/>
        </w:rPr>
        <w:drawing>
          <wp:inline distT="0" distB="0" distL="114300" distR="114300">
            <wp:extent cx="5256530" cy="2988310"/>
            <wp:effectExtent l="5080" t="4445" r="8890" b="1714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pStyle w:val="2"/>
        <w:jc w:val="center"/>
        <w:rPr>
          <w:rFonts w:ascii="仿宋_GB2312" w:eastAsia="仿宋_GB2312"/>
          <w:b w:val="0"/>
          <w:bCs w:val="0"/>
          <w:sz w:val="32"/>
        </w:rPr>
      </w:pPr>
      <w:r>
        <w:rPr>
          <w:rFonts w:hint="eastAsia" w:ascii="仿宋_GB2312" w:eastAsia="仿宋_GB2312"/>
          <w:sz w:val="32"/>
        </w:rPr>
        <w:t>图1：收入预算</w:t>
      </w:r>
    </w:p>
    <w:p>
      <w:pPr>
        <w:spacing w:line="560" w:lineRule="exact"/>
        <w:ind w:firstLine="640" w:firstLineChars="200"/>
        <w:rPr>
          <w:rFonts w:ascii="仿宋_GB2312" w:eastAsia="仿宋_GB2312"/>
          <w:color w:val="1F3864"/>
          <w:sz w:val="24"/>
        </w:rPr>
      </w:pPr>
      <w:r>
        <w:rPr>
          <w:rFonts w:hint="eastAsia" w:ascii="黑体" w:eastAsia="黑体"/>
          <w:sz w:val="32"/>
          <w:szCs w:val="32"/>
        </w:rPr>
        <w:t>三、支出预算情况说明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2024年支出预算</w:t>
      </w:r>
      <w:r>
        <w:rPr>
          <w:rFonts w:ascii="仿宋_GB2312" w:eastAsia="仿宋_GB2312"/>
          <w:sz w:val="32"/>
          <w:szCs w:val="32"/>
        </w:rPr>
        <w:t>2717.61</w:t>
      </w:r>
      <w:r>
        <w:rPr>
          <w:rFonts w:hint="eastAsia" w:ascii="仿宋_GB2312" w:eastAsia="仿宋_GB2312"/>
          <w:sz w:val="32"/>
          <w:szCs w:val="32"/>
        </w:rPr>
        <w:t>万元，比2023年年初预算数</w:t>
      </w:r>
      <w:r>
        <w:rPr>
          <w:rFonts w:ascii="仿宋_GB2312" w:eastAsia="仿宋_GB2312"/>
          <w:sz w:val="32"/>
          <w:szCs w:val="32"/>
        </w:rPr>
        <w:t>3293.69</w:t>
      </w:r>
      <w:r>
        <w:rPr>
          <w:rFonts w:hint="eastAsia" w:ascii="仿宋_GB2312" w:eastAsia="仿宋_GB2312"/>
          <w:sz w:val="32"/>
          <w:szCs w:val="32"/>
        </w:rPr>
        <w:t>万元减少</w:t>
      </w:r>
      <w:r>
        <w:rPr>
          <w:rFonts w:ascii="仿宋_GB2312" w:eastAsia="仿宋_GB2312"/>
          <w:sz w:val="32"/>
          <w:szCs w:val="32"/>
        </w:rPr>
        <w:t>576.08</w:t>
      </w:r>
      <w:r>
        <w:rPr>
          <w:rFonts w:hint="eastAsia" w:ascii="仿宋_GB2312" w:eastAsia="仿宋_GB2312"/>
          <w:sz w:val="32"/>
          <w:szCs w:val="32"/>
        </w:rPr>
        <w:t>万元，下降</w:t>
      </w:r>
      <w:r>
        <w:rPr>
          <w:rFonts w:ascii="仿宋_GB2312" w:eastAsia="仿宋_GB2312"/>
          <w:sz w:val="32"/>
          <w:szCs w:val="32"/>
        </w:rPr>
        <w:t>17.49</w:t>
      </w:r>
      <w:r>
        <w:rPr>
          <w:rFonts w:hint="eastAsia" w:ascii="仿宋_GB2312" w:eastAsia="仿宋_GB2312"/>
          <w:sz w:val="32"/>
          <w:szCs w:val="32"/>
        </w:rPr>
        <w:t>%。主要原因是根据事业发展规划</w:t>
      </w:r>
      <w:r>
        <w:rPr>
          <w:rFonts w:hint="eastAsia" w:ascii="仿宋_GB2312" w:eastAsia="仿宋_GB2312"/>
          <w:sz w:val="32"/>
          <w:szCs w:val="32"/>
          <w:lang w:eastAsia="zh-CN"/>
        </w:rPr>
        <w:t>减少</w:t>
      </w:r>
      <w:r>
        <w:rPr>
          <w:rFonts w:hint="eastAsia" w:ascii="仿宋_GB2312" w:eastAsia="仿宋_GB2312"/>
          <w:sz w:val="32"/>
          <w:szCs w:val="32"/>
        </w:rPr>
        <w:t>项目</w:t>
      </w:r>
      <w:r>
        <w:rPr>
          <w:rFonts w:hint="eastAsia" w:ascii="仿宋_GB2312" w:eastAsia="仿宋_GB2312"/>
          <w:sz w:val="32"/>
          <w:szCs w:val="32"/>
          <w:lang w:eastAsia="zh-CN"/>
        </w:rPr>
        <w:t>安排</w:t>
      </w:r>
      <w:bookmarkStart w:id="0" w:name="_GoBack"/>
      <w:bookmarkEnd w:id="0"/>
      <w:r>
        <w:rPr>
          <w:rFonts w:hint="eastAsia" w:ascii="仿宋_GB2312" w:eastAsia="仿宋_GB2312"/>
          <w:sz w:val="32"/>
          <w:szCs w:val="32"/>
        </w:rPr>
        <w:t>。</w:t>
      </w:r>
    </w:p>
    <w:p>
      <w:pPr>
        <w:spacing w:line="560" w:lineRule="exact"/>
        <w:ind w:firstLine="640"/>
        <w:rPr>
          <w:rFonts w:ascii="仿宋_GB2312" w:eastAsia="仿宋_GB2312"/>
          <w:color w:val="1F3864"/>
          <w:sz w:val="24"/>
        </w:rPr>
      </w:pPr>
      <w:r>
        <w:rPr>
          <w:rFonts w:hint="eastAsia" w:ascii="楷体_GB2312" w:hAnsi="楷体_GB2312" w:eastAsia="楷体_GB2312" w:cs="楷体_GB2312"/>
          <w:sz w:val="32"/>
          <w:szCs w:val="32"/>
        </w:rPr>
        <w:t>（一）基本支出。</w:t>
      </w:r>
      <w:r>
        <w:rPr>
          <w:rFonts w:hint="eastAsia" w:ascii="仿宋_GB2312" w:eastAsia="仿宋_GB2312"/>
          <w:sz w:val="32"/>
          <w:szCs w:val="32"/>
        </w:rPr>
        <w:t>基本支出预算</w:t>
      </w:r>
      <w:r>
        <w:rPr>
          <w:rFonts w:ascii="仿宋_GB2312" w:eastAsia="仿宋_GB2312"/>
          <w:sz w:val="32"/>
          <w:szCs w:val="32"/>
        </w:rPr>
        <w:t>2544.05</w:t>
      </w:r>
      <w:r>
        <w:rPr>
          <w:rFonts w:hint="eastAsia" w:ascii="仿宋_GB2312" w:eastAsia="仿宋_GB2312"/>
          <w:sz w:val="32"/>
          <w:szCs w:val="32"/>
        </w:rPr>
        <w:t>万元，占总支出预算93.61%，比2023年年初预算数</w:t>
      </w:r>
      <w:r>
        <w:rPr>
          <w:rFonts w:ascii="仿宋_GB2312" w:eastAsia="仿宋_GB2312"/>
          <w:sz w:val="32"/>
          <w:szCs w:val="32"/>
        </w:rPr>
        <w:t>2725.47</w:t>
      </w:r>
      <w:r>
        <w:rPr>
          <w:rFonts w:hint="eastAsia" w:ascii="仿宋_GB2312" w:eastAsia="仿宋_GB2312"/>
          <w:sz w:val="32"/>
          <w:szCs w:val="32"/>
        </w:rPr>
        <w:t>万元减少</w:t>
      </w:r>
      <w:r>
        <w:rPr>
          <w:rFonts w:ascii="仿宋_GB2312" w:eastAsia="仿宋_GB2312"/>
          <w:sz w:val="32"/>
          <w:szCs w:val="32"/>
        </w:rPr>
        <w:t>181.42</w:t>
      </w:r>
      <w:r>
        <w:rPr>
          <w:rFonts w:hint="eastAsia" w:ascii="仿宋_GB2312" w:eastAsia="仿宋_GB2312"/>
          <w:sz w:val="32"/>
          <w:szCs w:val="32"/>
        </w:rPr>
        <w:t>万元，下降6.66%。</w:t>
      </w:r>
    </w:p>
    <w:p>
      <w:pPr>
        <w:spacing w:line="560" w:lineRule="exact"/>
        <w:ind w:firstLine="640"/>
        <w:rPr>
          <w:rFonts w:ascii="仿宋_GB2312" w:eastAsia="仿宋_GB2312"/>
          <w:sz w:val="32"/>
          <w:szCs w:val="32"/>
        </w:rPr>
      </w:pPr>
      <w:r>
        <w:rPr>
          <w:rFonts w:hint="eastAsia" w:ascii="楷体_GB2312" w:hAnsi="楷体_GB2312" w:eastAsia="楷体_GB2312" w:cs="楷体_GB2312"/>
          <w:sz w:val="32"/>
          <w:szCs w:val="32"/>
        </w:rPr>
        <w:t>（二）项目支出。</w:t>
      </w:r>
      <w:r>
        <w:rPr>
          <w:rFonts w:hint="eastAsia" w:ascii="仿宋_GB2312" w:eastAsia="仿宋_GB2312"/>
          <w:sz w:val="32"/>
          <w:szCs w:val="32"/>
        </w:rPr>
        <w:t>项目支出预算</w:t>
      </w:r>
      <w:r>
        <w:rPr>
          <w:rFonts w:ascii="仿宋_GB2312" w:eastAsia="仿宋_GB2312"/>
          <w:sz w:val="32"/>
          <w:szCs w:val="32"/>
        </w:rPr>
        <w:t>173.56</w:t>
      </w:r>
      <w:r>
        <w:rPr>
          <w:rFonts w:hint="eastAsia" w:ascii="仿宋_GB2312" w:eastAsia="仿宋_GB2312"/>
          <w:sz w:val="32"/>
          <w:szCs w:val="32"/>
        </w:rPr>
        <w:t>万元，比2023年年初预算数</w:t>
      </w:r>
      <w:r>
        <w:rPr>
          <w:rFonts w:ascii="仿宋_GB2312" w:eastAsia="仿宋_GB2312"/>
          <w:sz w:val="32"/>
          <w:szCs w:val="32"/>
        </w:rPr>
        <w:t>568.22</w:t>
      </w:r>
      <w:r>
        <w:rPr>
          <w:rFonts w:hint="eastAsia" w:ascii="仿宋_GB2312" w:eastAsia="仿宋_GB2312"/>
          <w:sz w:val="32"/>
          <w:szCs w:val="32"/>
        </w:rPr>
        <w:t>万元减少</w:t>
      </w:r>
      <w:r>
        <w:rPr>
          <w:rFonts w:ascii="仿宋_GB2312" w:eastAsia="仿宋_GB2312"/>
          <w:sz w:val="32"/>
          <w:szCs w:val="32"/>
        </w:rPr>
        <w:t>394.66</w:t>
      </w:r>
      <w:r>
        <w:rPr>
          <w:rFonts w:hint="eastAsia" w:ascii="仿宋_GB2312" w:eastAsia="仿宋_GB2312"/>
          <w:sz w:val="32"/>
          <w:szCs w:val="32"/>
        </w:rPr>
        <w:t>万元，下降6</w:t>
      </w:r>
      <w:r>
        <w:rPr>
          <w:rFonts w:ascii="仿宋_GB2312" w:eastAsia="仿宋_GB2312"/>
          <w:sz w:val="32"/>
          <w:szCs w:val="32"/>
        </w:rPr>
        <w:t>9.46</w:t>
      </w:r>
      <w:r>
        <w:rPr>
          <w:rFonts w:hint="eastAsia" w:ascii="仿宋_GB2312" w:eastAsia="仿宋_GB2312"/>
          <w:sz w:val="32"/>
          <w:szCs w:val="32"/>
        </w:rPr>
        <w:t>%。其中：</w:t>
      </w:r>
    </w:p>
    <w:p>
      <w:pPr>
        <w:spacing w:line="560" w:lineRule="exact"/>
        <w:ind w:firstLine="640"/>
        <w:rPr>
          <w:rFonts w:ascii="仿宋_GB2312" w:eastAsia="仿宋_GB2312"/>
          <w:sz w:val="32"/>
          <w:szCs w:val="32"/>
        </w:rPr>
      </w:pPr>
      <w:r>
        <w:rPr>
          <w:rFonts w:hint="eastAsia" w:ascii="仿宋_GB2312" w:eastAsia="仿宋_GB2312"/>
          <w:sz w:val="32"/>
          <w:szCs w:val="32"/>
        </w:rPr>
        <w:t>1.事业单位经营支出</w:t>
      </w:r>
      <w:r>
        <w:rPr>
          <w:rFonts w:ascii="仿宋_GB2312" w:eastAsia="仿宋_GB2312"/>
          <w:sz w:val="32"/>
          <w:szCs w:val="32"/>
        </w:rPr>
        <w:t>0</w:t>
      </w:r>
      <w:r>
        <w:rPr>
          <w:rFonts w:hint="eastAsia" w:ascii="仿宋_GB2312" w:eastAsia="仿宋_GB2312"/>
          <w:sz w:val="32"/>
          <w:szCs w:val="32"/>
        </w:rPr>
        <w:t>万元。</w:t>
      </w:r>
    </w:p>
    <w:p>
      <w:pPr>
        <w:spacing w:line="560" w:lineRule="exact"/>
        <w:ind w:firstLine="640"/>
        <w:rPr>
          <w:rFonts w:ascii="仿宋_GB2312" w:eastAsia="仿宋_GB2312"/>
          <w:sz w:val="32"/>
          <w:szCs w:val="32"/>
        </w:rPr>
      </w:pPr>
      <w:r>
        <w:rPr>
          <w:rFonts w:hint="eastAsia" w:ascii="仿宋_GB2312" w:eastAsia="仿宋_GB2312"/>
          <w:sz w:val="32"/>
          <w:szCs w:val="32"/>
        </w:rPr>
        <w:t>2.上缴上级支出</w:t>
      </w:r>
      <w:r>
        <w:rPr>
          <w:rFonts w:ascii="仿宋_GB2312" w:eastAsia="仿宋_GB2312"/>
          <w:sz w:val="32"/>
          <w:szCs w:val="32"/>
        </w:rPr>
        <w:t>0</w:t>
      </w:r>
      <w:r>
        <w:rPr>
          <w:rFonts w:hint="eastAsia" w:ascii="仿宋_GB2312" w:eastAsia="仿宋_GB2312"/>
          <w:sz w:val="32"/>
          <w:szCs w:val="32"/>
        </w:rPr>
        <w:t>万元。</w:t>
      </w:r>
    </w:p>
    <w:p>
      <w:pPr>
        <w:spacing w:line="560" w:lineRule="exact"/>
        <w:ind w:firstLine="640"/>
        <w:rPr>
          <w:rFonts w:ascii="仿宋_GB2312" w:eastAsia="仿宋_GB2312"/>
          <w:sz w:val="32"/>
          <w:szCs w:val="32"/>
        </w:rPr>
      </w:pPr>
      <w:r>
        <w:rPr>
          <w:rFonts w:hint="eastAsia" w:ascii="仿宋_GB2312" w:eastAsia="仿宋_GB2312"/>
          <w:sz w:val="32"/>
          <w:szCs w:val="32"/>
        </w:rPr>
        <w:t>3.对附属单位补助支出</w:t>
      </w:r>
      <w:r>
        <w:rPr>
          <w:rFonts w:ascii="仿宋_GB2312" w:eastAsia="仿宋_GB2312"/>
          <w:sz w:val="32"/>
          <w:szCs w:val="32"/>
        </w:rPr>
        <w:t>0</w:t>
      </w:r>
      <w:r>
        <w:rPr>
          <w:rFonts w:hint="eastAsia" w:ascii="仿宋_GB2312" w:eastAsia="仿宋_GB2312"/>
          <w:sz w:val="32"/>
          <w:szCs w:val="32"/>
        </w:rPr>
        <w:t>万元。</w:t>
      </w:r>
    </w:p>
    <w:p>
      <w:pPr>
        <w:pStyle w:val="2"/>
        <w:ind w:firstLine="642"/>
        <w:jc w:val="center"/>
      </w:pPr>
      <w:r>
        <w:rPr>
          <w:rFonts w:hint="eastAsia"/>
        </w:rPr>
        <w:drawing>
          <wp:inline distT="0" distB="0" distL="114300" distR="114300">
            <wp:extent cx="5059680" cy="3232785"/>
            <wp:effectExtent l="4445" t="4445" r="15875" b="1397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pStyle w:val="2"/>
        <w:ind w:firstLine="642"/>
        <w:jc w:val="center"/>
      </w:pPr>
      <w:r>
        <w:rPr>
          <w:rFonts w:hint="eastAsia" w:ascii="仿宋_GB2312" w:eastAsia="仿宋_GB2312"/>
          <w:sz w:val="32"/>
        </w:rPr>
        <w:t>图2：基本支出和项目支出情况</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年终结转结余资金</w:t>
      </w:r>
      <w:r>
        <w:rPr>
          <w:rFonts w:ascii="楷体_GB2312" w:hAnsi="楷体_GB2312" w:eastAsia="楷体_GB2312" w:cs="楷体_GB2312"/>
          <w:color w:val="000000"/>
          <w:sz w:val="32"/>
          <w:szCs w:val="32"/>
        </w:rPr>
        <w:t>0</w:t>
      </w:r>
      <w:r>
        <w:rPr>
          <w:rFonts w:hint="eastAsia" w:ascii="楷体_GB2312" w:hAnsi="楷体_GB2312" w:eastAsia="楷体_GB2312" w:cs="楷体_GB2312"/>
          <w:color w:val="000000"/>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四、财政拨款“三公”经费预算情况说明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（一）“三公”经费的单位范围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hAnsi="宋体" w:eastAsia="仿宋_GB2312"/>
          <w:sz w:val="32"/>
          <w:szCs w:val="32"/>
        </w:rPr>
        <w:t>北京市教育考试命题阅卷服务中心</w:t>
      </w:r>
      <w:r>
        <w:rPr>
          <w:rFonts w:hint="eastAsia" w:ascii="仿宋_GB2312" w:eastAsia="仿宋_GB2312"/>
          <w:sz w:val="32"/>
          <w:szCs w:val="32"/>
        </w:rPr>
        <w:t>因公出国（境）费用、公务接待费、公务用车购置和运行维护费开支单位包括</w:t>
      </w:r>
      <w:r>
        <w:rPr>
          <w:rFonts w:ascii="仿宋_GB2312" w:eastAsia="仿宋_GB2312"/>
          <w:sz w:val="32"/>
          <w:szCs w:val="32"/>
        </w:rPr>
        <w:t>1</w:t>
      </w:r>
      <w:r>
        <w:rPr>
          <w:rFonts w:hint="eastAsia" w:ascii="仿宋_GB2312" w:eastAsia="仿宋_GB2312"/>
          <w:sz w:val="32"/>
          <w:szCs w:val="32"/>
        </w:rPr>
        <w:t>个所属单位。其他所属单位2024年无财政拨款安排的“三公”经费预算。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（二）财政拨款“三公”经费预算情况说明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2024年财政拨款“三公”经费预算</w:t>
      </w:r>
      <w:r>
        <w:rPr>
          <w:rFonts w:ascii="仿宋_GB2312" w:eastAsia="仿宋_GB2312"/>
          <w:sz w:val="32"/>
          <w:szCs w:val="32"/>
        </w:rPr>
        <w:t>1.2</w:t>
      </w:r>
      <w:r>
        <w:rPr>
          <w:rFonts w:hint="eastAsia" w:ascii="仿宋_GB2312" w:eastAsia="仿宋_GB2312"/>
          <w:sz w:val="32"/>
          <w:szCs w:val="32"/>
        </w:rPr>
        <w:t>0万元，比2023年财政拨款“三公”经费预算减少0</w:t>
      </w:r>
      <w:r>
        <w:rPr>
          <w:rFonts w:ascii="仿宋_GB2312" w:eastAsia="仿宋_GB2312"/>
          <w:sz w:val="32"/>
          <w:szCs w:val="32"/>
        </w:rPr>
        <w:t>.82</w:t>
      </w:r>
      <w:r>
        <w:rPr>
          <w:rFonts w:hint="eastAsia" w:ascii="仿宋_GB2312" w:eastAsia="仿宋_GB2312"/>
          <w:sz w:val="32"/>
          <w:szCs w:val="32"/>
        </w:rPr>
        <w:t>万元。其中：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1.因公出国（境）费用。2024年预算数</w:t>
      </w:r>
      <w:r>
        <w:rPr>
          <w:rFonts w:ascii="仿宋_GB2312" w:eastAsia="仿宋_GB2312"/>
          <w:sz w:val="32"/>
          <w:szCs w:val="32"/>
        </w:rPr>
        <w:t>0</w:t>
      </w:r>
      <w:r>
        <w:rPr>
          <w:rFonts w:hint="eastAsia" w:ascii="仿宋_GB2312" w:eastAsia="仿宋_GB2312"/>
          <w:sz w:val="32"/>
          <w:szCs w:val="32"/>
        </w:rPr>
        <w:t>万元，与202</w:t>
      </w:r>
      <w:r>
        <w:rPr>
          <w:rFonts w:ascii="仿宋_GB2312" w:eastAsia="仿宋_GB2312"/>
          <w:sz w:val="32"/>
          <w:szCs w:val="32"/>
        </w:rPr>
        <w:t>3</w:t>
      </w:r>
      <w:r>
        <w:rPr>
          <w:rFonts w:hint="eastAsia" w:ascii="仿宋_GB2312" w:eastAsia="仿宋_GB2312"/>
          <w:sz w:val="32"/>
          <w:szCs w:val="32"/>
        </w:rPr>
        <w:t>年持平。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2.公务接待费。2024年预算数</w:t>
      </w:r>
      <w:r>
        <w:rPr>
          <w:rFonts w:ascii="仿宋_GB2312" w:eastAsia="仿宋_GB2312"/>
          <w:sz w:val="32"/>
          <w:szCs w:val="32"/>
        </w:rPr>
        <w:t>0</w:t>
      </w:r>
      <w:r>
        <w:rPr>
          <w:rFonts w:hint="eastAsia" w:ascii="仿宋_GB2312" w:eastAsia="仿宋_GB2312"/>
          <w:sz w:val="32"/>
          <w:szCs w:val="32"/>
        </w:rPr>
        <w:t>万元，与202</w:t>
      </w:r>
      <w:r>
        <w:rPr>
          <w:rFonts w:ascii="仿宋_GB2312" w:eastAsia="仿宋_GB2312"/>
          <w:sz w:val="32"/>
          <w:szCs w:val="32"/>
        </w:rPr>
        <w:t>3</w:t>
      </w:r>
      <w:r>
        <w:rPr>
          <w:rFonts w:hint="eastAsia" w:ascii="仿宋_GB2312" w:eastAsia="仿宋_GB2312"/>
          <w:sz w:val="32"/>
          <w:szCs w:val="32"/>
        </w:rPr>
        <w:t>年持平。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3.公务用车购置和运行维护费。2024年预算数</w:t>
      </w:r>
      <w:r>
        <w:rPr>
          <w:rFonts w:ascii="仿宋_GB2312" w:eastAsia="仿宋_GB2312"/>
          <w:sz w:val="32"/>
          <w:szCs w:val="32"/>
        </w:rPr>
        <w:t>1.2</w:t>
      </w:r>
      <w:r>
        <w:rPr>
          <w:rFonts w:hint="eastAsia" w:ascii="仿宋_GB2312" w:eastAsia="仿宋_GB2312"/>
          <w:sz w:val="32"/>
          <w:szCs w:val="32"/>
        </w:rPr>
        <w:t>0万元，包括：公务用车购置费2024年预算数</w:t>
      </w:r>
      <w:r>
        <w:rPr>
          <w:rFonts w:ascii="仿宋_GB2312" w:eastAsia="仿宋_GB2312"/>
          <w:sz w:val="32"/>
          <w:szCs w:val="32"/>
        </w:rPr>
        <w:t>0</w:t>
      </w:r>
      <w:r>
        <w:rPr>
          <w:rFonts w:hint="eastAsia" w:ascii="仿宋_GB2312" w:eastAsia="仿宋_GB2312"/>
          <w:sz w:val="32"/>
          <w:szCs w:val="32"/>
        </w:rPr>
        <w:t>万元，与202</w:t>
      </w:r>
      <w:r>
        <w:rPr>
          <w:rFonts w:ascii="仿宋_GB2312" w:eastAsia="仿宋_GB2312"/>
          <w:sz w:val="32"/>
          <w:szCs w:val="32"/>
        </w:rPr>
        <w:t>3</w:t>
      </w:r>
      <w:r>
        <w:rPr>
          <w:rFonts w:hint="eastAsia" w:ascii="仿宋_GB2312" w:eastAsia="仿宋_GB2312"/>
          <w:sz w:val="32"/>
          <w:szCs w:val="32"/>
        </w:rPr>
        <w:t>年持平；公务用车运行维护费2024年预算数</w:t>
      </w:r>
      <w:r>
        <w:rPr>
          <w:rFonts w:ascii="仿宋_GB2312" w:eastAsia="仿宋_GB2312"/>
          <w:sz w:val="32"/>
          <w:szCs w:val="32"/>
        </w:rPr>
        <w:t>1.2</w:t>
      </w:r>
      <w:r>
        <w:rPr>
          <w:rFonts w:hint="eastAsia" w:ascii="仿宋_GB2312" w:eastAsia="仿宋_GB2312"/>
          <w:sz w:val="32"/>
          <w:szCs w:val="32"/>
        </w:rPr>
        <w:t>0万元，其中：公务用车燃油</w:t>
      </w:r>
      <w:r>
        <w:rPr>
          <w:rFonts w:ascii="仿宋_GB2312" w:eastAsia="仿宋_GB2312"/>
          <w:sz w:val="32"/>
          <w:szCs w:val="32"/>
        </w:rPr>
        <w:t>0.5</w:t>
      </w:r>
      <w:r>
        <w:rPr>
          <w:rFonts w:hint="eastAsia" w:ascii="仿宋_GB2312" w:eastAsia="仿宋_GB2312"/>
          <w:sz w:val="32"/>
          <w:szCs w:val="32"/>
        </w:rPr>
        <w:t>0万元，公务用车维修</w:t>
      </w:r>
      <w:r>
        <w:rPr>
          <w:rFonts w:ascii="仿宋_GB2312" w:eastAsia="仿宋_GB2312"/>
          <w:sz w:val="32"/>
          <w:szCs w:val="32"/>
        </w:rPr>
        <w:t>0.2</w:t>
      </w:r>
      <w:r>
        <w:rPr>
          <w:rFonts w:hint="eastAsia" w:ascii="仿宋_GB2312" w:eastAsia="仿宋_GB2312"/>
          <w:sz w:val="32"/>
          <w:szCs w:val="32"/>
        </w:rPr>
        <w:t>0万元，公务用车保险</w:t>
      </w:r>
      <w:r>
        <w:rPr>
          <w:rFonts w:ascii="仿宋_GB2312" w:eastAsia="仿宋_GB2312"/>
          <w:sz w:val="32"/>
          <w:szCs w:val="32"/>
        </w:rPr>
        <w:t>0.3</w:t>
      </w:r>
      <w:r>
        <w:rPr>
          <w:rFonts w:hint="eastAsia" w:ascii="仿宋_GB2312" w:eastAsia="仿宋_GB2312"/>
          <w:sz w:val="32"/>
          <w:szCs w:val="32"/>
        </w:rPr>
        <w:t>0万元，其他支出</w:t>
      </w:r>
      <w:r>
        <w:rPr>
          <w:rFonts w:ascii="仿宋_GB2312" w:eastAsia="仿宋_GB2312"/>
          <w:sz w:val="32"/>
          <w:szCs w:val="32"/>
        </w:rPr>
        <w:t>0.2</w:t>
      </w:r>
      <w:r>
        <w:rPr>
          <w:rFonts w:hint="eastAsia" w:ascii="仿宋_GB2312" w:eastAsia="仿宋_GB2312"/>
          <w:sz w:val="32"/>
          <w:szCs w:val="32"/>
        </w:rPr>
        <w:t>0万元。公务用车运行维护费2024年预算数比2023年年初预算数</w:t>
      </w:r>
      <w:r>
        <w:rPr>
          <w:rFonts w:ascii="仿宋_GB2312" w:eastAsia="仿宋_GB2312"/>
          <w:sz w:val="32"/>
          <w:szCs w:val="32"/>
        </w:rPr>
        <w:t>2.02</w:t>
      </w:r>
      <w:r>
        <w:rPr>
          <w:rFonts w:hint="eastAsia" w:ascii="仿宋_GB2312" w:eastAsia="仿宋_GB2312"/>
          <w:sz w:val="32"/>
          <w:szCs w:val="32"/>
        </w:rPr>
        <w:t>万元减少0</w:t>
      </w:r>
      <w:r>
        <w:rPr>
          <w:rFonts w:ascii="仿宋_GB2312" w:eastAsia="仿宋_GB2312"/>
          <w:sz w:val="32"/>
          <w:szCs w:val="32"/>
        </w:rPr>
        <w:t>.82</w:t>
      </w:r>
      <w:r>
        <w:rPr>
          <w:rFonts w:hint="eastAsia" w:ascii="仿宋_GB2312" w:eastAsia="仿宋_GB2312"/>
          <w:sz w:val="32"/>
          <w:szCs w:val="32"/>
        </w:rPr>
        <w:t>万元，主要原因：落实政府“过紧日子”要求，进一步压减一般性支出。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五、其他情况说明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（一）政府采购预算说明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2024年</w:t>
      </w:r>
      <w:r>
        <w:rPr>
          <w:rFonts w:hint="eastAsia" w:ascii="仿宋_GB2312" w:hAnsi="宋体" w:eastAsia="仿宋_GB2312"/>
          <w:sz w:val="32"/>
          <w:szCs w:val="32"/>
        </w:rPr>
        <w:t>北京市教育考试命题阅卷服务中心</w:t>
      </w:r>
      <w:r>
        <w:rPr>
          <w:rFonts w:hint="eastAsia" w:ascii="仿宋_GB2312" w:eastAsia="仿宋_GB2312"/>
          <w:sz w:val="32"/>
          <w:szCs w:val="32"/>
        </w:rPr>
        <w:t>政府采购预算总额</w:t>
      </w:r>
      <w:r>
        <w:rPr>
          <w:rFonts w:ascii="仿宋_GB2312" w:eastAsia="仿宋_GB2312"/>
          <w:sz w:val="32"/>
          <w:szCs w:val="32"/>
        </w:rPr>
        <w:t>290.59</w:t>
      </w:r>
      <w:r>
        <w:rPr>
          <w:rFonts w:hint="eastAsia" w:ascii="仿宋_GB2312" w:eastAsia="仿宋_GB2312"/>
          <w:sz w:val="32"/>
          <w:szCs w:val="32"/>
        </w:rPr>
        <w:t>万元，其中：政府采购货物预算</w:t>
      </w:r>
      <w:r>
        <w:rPr>
          <w:rFonts w:ascii="仿宋_GB2312" w:eastAsia="仿宋_GB2312"/>
          <w:sz w:val="32"/>
          <w:szCs w:val="32"/>
        </w:rPr>
        <w:t>0</w:t>
      </w:r>
      <w:r>
        <w:rPr>
          <w:rFonts w:hint="eastAsia" w:ascii="仿宋_GB2312" w:eastAsia="仿宋_GB2312"/>
          <w:sz w:val="32"/>
          <w:szCs w:val="32"/>
        </w:rPr>
        <w:t>万元，政府采购工程预算</w:t>
      </w:r>
      <w:r>
        <w:rPr>
          <w:rFonts w:ascii="仿宋_GB2312" w:eastAsia="仿宋_GB2312"/>
          <w:sz w:val="32"/>
          <w:szCs w:val="32"/>
        </w:rPr>
        <w:t>0</w:t>
      </w:r>
      <w:r>
        <w:rPr>
          <w:rFonts w:hint="eastAsia" w:ascii="仿宋_GB2312" w:eastAsia="仿宋_GB2312"/>
          <w:sz w:val="32"/>
          <w:szCs w:val="32"/>
        </w:rPr>
        <w:t>万元，政府采购服务预算</w:t>
      </w:r>
      <w:r>
        <w:rPr>
          <w:rFonts w:ascii="仿宋_GB2312" w:eastAsia="仿宋_GB2312"/>
          <w:sz w:val="32"/>
          <w:szCs w:val="32"/>
        </w:rPr>
        <w:t>290.59</w:t>
      </w:r>
      <w:r>
        <w:rPr>
          <w:rFonts w:hint="eastAsia" w:ascii="仿宋_GB2312"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（二）政府购买服务预算说明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2024年</w:t>
      </w:r>
      <w:r>
        <w:rPr>
          <w:rFonts w:hint="eastAsia" w:ascii="仿宋_GB2312" w:hAnsi="宋体" w:eastAsia="仿宋_GB2312"/>
          <w:sz w:val="32"/>
          <w:szCs w:val="32"/>
        </w:rPr>
        <w:t>北京市教育考试命题阅卷服务中心</w:t>
      </w:r>
      <w:r>
        <w:rPr>
          <w:rFonts w:hint="eastAsia" w:ascii="仿宋_GB2312" w:eastAsia="仿宋_GB2312"/>
          <w:color w:val="000000"/>
          <w:sz w:val="32"/>
          <w:szCs w:val="32"/>
        </w:rPr>
        <w:t>政府购买服务预算总额</w:t>
      </w:r>
      <w:r>
        <w:rPr>
          <w:rFonts w:ascii="仿宋_GB2312" w:eastAsia="仿宋_GB2312"/>
          <w:color w:val="000000"/>
          <w:sz w:val="32"/>
          <w:szCs w:val="32"/>
        </w:rPr>
        <w:t>0</w:t>
      </w:r>
      <w:r>
        <w:rPr>
          <w:rFonts w:hint="eastAsia" w:ascii="仿宋_GB2312" w:eastAsia="仿宋_GB2312"/>
          <w:color w:val="000000"/>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（三）机关运行经费说明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我单位不在机关运行经费统计范围之内。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（四）项目支出绩效目标情况说明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2024年，</w:t>
      </w:r>
      <w:r>
        <w:rPr>
          <w:rFonts w:hint="eastAsia" w:ascii="仿宋_GB2312" w:hAnsi="宋体" w:eastAsia="仿宋_GB2312"/>
          <w:sz w:val="32"/>
          <w:szCs w:val="32"/>
        </w:rPr>
        <w:t>北京市教育考试命题阅卷服务中心</w:t>
      </w:r>
      <w:r>
        <w:rPr>
          <w:rFonts w:hint="eastAsia" w:ascii="仿宋_GB2312" w:eastAsia="仿宋_GB2312"/>
          <w:sz w:val="32"/>
          <w:szCs w:val="32"/>
        </w:rPr>
        <w:t>填报绩效目标的预算项目</w:t>
      </w:r>
      <w:r>
        <w:rPr>
          <w:rFonts w:ascii="仿宋_GB2312" w:eastAsia="仿宋_GB2312"/>
          <w:sz w:val="32"/>
          <w:szCs w:val="32"/>
        </w:rPr>
        <w:t>3</w:t>
      </w:r>
      <w:r>
        <w:rPr>
          <w:rFonts w:hint="eastAsia" w:ascii="仿宋_GB2312" w:eastAsia="仿宋_GB2312"/>
          <w:sz w:val="32"/>
          <w:szCs w:val="32"/>
        </w:rPr>
        <w:t>个，占本单位本年预算项目</w:t>
      </w:r>
      <w:r>
        <w:rPr>
          <w:rFonts w:ascii="仿宋_GB2312" w:eastAsia="仿宋_GB2312"/>
          <w:sz w:val="32"/>
          <w:szCs w:val="32"/>
        </w:rPr>
        <w:t>3</w:t>
      </w:r>
      <w:r>
        <w:rPr>
          <w:rFonts w:hint="eastAsia" w:ascii="仿宋_GB2312" w:eastAsia="仿宋_GB2312"/>
          <w:sz w:val="32"/>
          <w:szCs w:val="32"/>
        </w:rPr>
        <w:t>个的</w:t>
      </w:r>
      <w:r>
        <w:rPr>
          <w:rFonts w:ascii="仿宋_GB2312" w:eastAsia="仿宋_GB2312"/>
          <w:sz w:val="32"/>
          <w:szCs w:val="32"/>
        </w:rPr>
        <w:t>100</w:t>
      </w:r>
      <w:r>
        <w:rPr>
          <w:rFonts w:hint="eastAsia" w:ascii="仿宋_GB2312" w:eastAsia="仿宋_GB2312"/>
          <w:sz w:val="32"/>
          <w:szCs w:val="32"/>
        </w:rPr>
        <w:t>%。填报绩效目标的项目支出预算</w:t>
      </w:r>
      <w:r>
        <w:rPr>
          <w:rFonts w:ascii="仿宋_GB2312" w:eastAsia="仿宋_GB2312"/>
          <w:sz w:val="32"/>
          <w:szCs w:val="32"/>
        </w:rPr>
        <w:t>173.56</w:t>
      </w:r>
      <w:r>
        <w:rPr>
          <w:rFonts w:hint="eastAsia" w:ascii="仿宋_GB2312" w:eastAsia="仿宋_GB2312"/>
          <w:sz w:val="32"/>
          <w:szCs w:val="32"/>
        </w:rPr>
        <w:t>万元，占本单位本年项目支出预算的</w:t>
      </w:r>
      <w:r>
        <w:rPr>
          <w:rFonts w:ascii="仿宋_GB2312" w:eastAsia="仿宋_GB2312"/>
          <w:sz w:val="32"/>
          <w:szCs w:val="32"/>
        </w:rPr>
        <w:t>100</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（五）重点行政事业性收费情况说明</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150"/>
        <w:textAlignment w:val="auto"/>
        <w:rPr>
          <w:rFonts w:ascii="仿宋_GB2312" w:eastAsia="仿宋_GB2312"/>
          <w:sz w:val="32"/>
          <w:szCs w:val="32"/>
        </w:rPr>
      </w:pPr>
      <w:r>
        <w:rPr>
          <w:rFonts w:hint="eastAsia" w:ascii="仿宋_GB2312" w:eastAsia="仿宋_GB2312"/>
          <w:sz w:val="32"/>
          <w:szCs w:val="32"/>
        </w:rPr>
        <w:t>本单位2024年无重点行政事业性收费。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（六）国有资本经营预算财政拨款情况说明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000000"/>
          <w:sz w:val="32"/>
          <w:szCs w:val="32"/>
        </w:rPr>
      </w:pPr>
      <w:r>
        <w:rPr>
          <w:rFonts w:hint="eastAsia" w:ascii="仿宋_GB2312" w:eastAsia="仿宋_GB2312"/>
          <w:sz w:val="32"/>
          <w:szCs w:val="32"/>
        </w:rPr>
        <w:t>本单位2024</w:t>
      </w:r>
      <w:r>
        <w:rPr>
          <w:rFonts w:hint="eastAsia" w:ascii="仿宋_GB2312" w:eastAsia="仿宋_GB2312"/>
          <w:color w:val="000000"/>
          <w:sz w:val="32"/>
          <w:szCs w:val="32"/>
        </w:rPr>
        <w:t>年无国有资本经营预算财政拨款安排的预算。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color w:val="000000"/>
          <w:sz w:val="32"/>
          <w:szCs w:val="32"/>
        </w:rPr>
      </w:pPr>
      <w:r>
        <w:rPr>
          <w:rFonts w:hint="eastAsia" w:ascii="楷体_GB2312" w:eastAsia="楷体_GB2312"/>
          <w:color w:val="000000"/>
          <w:sz w:val="32"/>
          <w:szCs w:val="32"/>
        </w:rPr>
        <w:t>（七）国有资产占用情况说明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截至2023年底，</w:t>
      </w:r>
      <w:r>
        <w:rPr>
          <w:rFonts w:hint="eastAsia" w:ascii="仿宋_GB2312" w:hAnsi="宋体" w:eastAsia="仿宋_GB2312"/>
          <w:sz w:val="32"/>
          <w:szCs w:val="32"/>
        </w:rPr>
        <w:t>北京市教育考试命题阅卷服务中心</w:t>
      </w:r>
      <w:r>
        <w:rPr>
          <w:rFonts w:hint="eastAsia" w:ascii="仿宋_GB2312" w:eastAsia="仿宋_GB2312"/>
          <w:color w:val="000000"/>
          <w:sz w:val="32"/>
          <w:szCs w:val="32"/>
        </w:rPr>
        <w:t>共有车辆</w:t>
      </w:r>
      <w:r>
        <w:rPr>
          <w:rFonts w:ascii="仿宋_GB2312" w:eastAsia="仿宋_GB2312"/>
          <w:color w:val="000000"/>
          <w:sz w:val="32"/>
          <w:szCs w:val="32"/>
        </w:rPr>
        <w:t>3</w:t>
      </w:r>
      <w:r>
        <w:rPr>
          <w:rFonts w:hint="eastAsia" w:ascii="仿宋_GB2312" w:eastAsia="仿宋_GB2312"/>
          <w:color w:val="000000"/>
          <w:sz w:val="32"/>
          <w:szCs w:val="32"/>
        </w:rPr>
        <w:t>台，共计</w:t>
      </w:r>
      <w:r>
        <w:rPr>
          <w:rFonts w:ascii="仿宋_GB2312" w:eastAsia="仿宋_GB2312"/>
          <w:color w:val="000000"/>
          <w:sz w:val="32"/>
          <w:szCs w:val="32"/>
        </w:rPr>
        <w:t>58.13</w:t>
      </w:r>
      <w:r>
        <w:rPr>
          <w:rFonts w:hint="eastAsia" w:ascii="仿宋_GB2312" w:eastAsia="仿宋_GB2312"/>
          <w:color w:val="000000"/>
          <w:sz w:val="32"/>
          <w:szCs w:val="32"/>
        </w:rPr>
        <w:t>万元；单位价值50万元以上的设备</w:t>
      </w:r>
      <w:r>
        <w:rPr>
          <w:rFonts w:ascii="仿宋_GB2312" w:eastAsia="仿宋_GB2312"/>
          <w:color w:val="000000"/>
          <w:sz w:val="32"/>
          <w:szCs w:val="32"/>
        </w:rPr>
        <w:t>10</w:t>
      </w:r>
      <w:r>
        <w:rPr>
          <w:rFonts w:hint="eastAsia" w:ascii="仿宋_GB2312" w:eastAsia="仿宋_GB2312"/>
          <w:color w:val="000000"/>
          <w:sz w:val="32"/>
          <w:szCs w:val="32"/>
        </w:rPr>
        <w:t>台（套）、共计</w:t>
      </w:r>
      <w:r>
        <w:rPr>
          <w:rFonts w:ascii="仿宋_GB2312" w:eastAsia="仿宋_GB2312"/>
          <w:color w:val="000000"/>
          <w:sz w:val="32"/>
          <w:szCs w:val="32"/>
        </w:rPr>
        <w:t>1004.06</w:t>
      </w:r>
      <w:r>
        <w:rPr>
          <w:rFonts w:hint="eastAsia" w:ascii="仿宋_GB2312" w:eastAsia="仿宋_GB2312"/>
          <w:color w:val="000000"/>
          <w:sz w:val="32"/>
          <w:szCs w:val="32"/>
        </w:rPr>
        <w:t>万元。2024年预算安排中，购置单位价值50万元以上的设备</w:t>
      </w:r>
      <w:r>
        <w:rPr>
          <w:rFonts w:ascii="仿宋_GB2312" w:eastAsia="仿宋_GB2312"/>
          <w:color w:val="000000"/>
          <w:sz w:val="32"/>
          <w:szCs w:val="32"/>
        </w:rPr>
        <w:t>0</w:t>
      </w:r>
      <w:r>
        <w:rPr>
          <w:rFonts w:hint="eastAsia" w:ascii="仿宋_GB2312" w:eastAsia="仿宋_GB2312"/>
          <w:color w:val="000000"/>
          <w:sz w:val="32"/>
          <w:szCs w:val="32"/>
        </w:rPr>
        <w:t>台（套），共计</w:t>
      </w:r>
      <w:r>
        <w:rPr>
          <w:rFonts w:ascii="仿宋_GB2312" w:eastAsia="仿宋_GB2312"/>
          <w:color w:val="000000"/>
          <w:sz w:val="32"/>
          <w:szCs w:val="32"/>
        </w:rPr>
        <w:t>0</w:t>
      </w:r>
      <w:r>
        <w:rPr>
          <w:rFonts w:hint="eastAsia" w:ascii="仿宋_GB2312" w:eastAsia="仿宋_GB2312"/>
          <w:color w:val="000000"/>
          <w:sz w:val="32"/>
          <w:szCs w:val="32"/>
        </w:rPr>
        <w:t>万元。</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ascii="黑体" w:eastAsia="黑体"/>
          <w:color w:val="000000"/>
          <w:sz w:val="32"/>
          <w:szCs w:val="32"/>
        </w:rPr>
      </w:pPr>
      <w:r>
        <w:rPr>
          <w:rFonts w:hint="eastAsia" w:ascii="黑体" w:eastAsia="黑体"/>
          <w:color w:val="000000"/>
          <w:sz w:val="32"/>
          <w:szCs w:val="32"/>
        </w:rPr>
        <w:t>名词解释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项目支出：指在基本支出之外为完成特定行政任务或事业发展目标所发生的支出。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“三公”经费财政拨款预算数：指本单位当年单位预算安排的因公出国（境）费用、公务接待费、公务用车购置和运行维护费预算数。</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第二部分  2024年度单位预算报表</w:t>
      </w:r>
    </w:p>
    <w:p>
      <w:pPr>
        <w:autoSpaceDE w:val="0"/>
        <w:autoSpaceDN w:val="0"/>
        <w:adjustRightInd w:val="0"/>
        <w:spacing w:line="560" w:lineRule="exact"/>
        <w:jc w:val="left"/>
        <w:rPr>
          <w:rFonts w:ascii="方正小标宋简体" w:eastAsia="方正小标宋简体"/>
          <w:color w:val="000000"/>
          <w:sz w:val="36"/>
          <w:szCs w:val="36"/>
        </w:rPr>
      </w:pPr>
    </w:p>
    <w:p>
      <w:pPr>
        <w:spacing w:line="560" w:lineRule="exact"/>
        <w:ind w:firstLine="640" w:firstLineChars="200"/>
        <w:rPr>
          <w:rFonts w:ascii="仿宋_GB2312" w:eastAsia="仿宋_GB2312" w:cs="宋体"/>
          <w:color w:val="000000"/>
          <w:kern w:val="0"/>
          <w:sz w:val="32"/>
          <w:szCs w:val="32"/>
          <w:lang w:val="zh-CN"/>
        </w:rPr>
      </w:pPr>
      <w:r>
        <w:rPr>
          <w:rFonts w:hint="eastAsia" w:ascii="仿宋_GB2312" w:eastAsia="仿宋_GB2312"/>
          <w:color w:val="000000"/>
          <w:sz w:val="32"/>
          <w:szCs w:val="32"/>
        </w:rPr>
        <w:t>附件：</w:t>
      </w:r>
      <w:r>
        <w:rPr>
          <w:rFonts w:hint="eastAsia" w:ascii="仿宋_GB2312" w:hAnsi="宋体" w:eastAsia="仿宋_GB2312"/>
          <w:sz w:val="32"/>
          <w:szCs w:val="32"/>
        </w:rPr>
        <w:t>北京市教育考试命题阅卷服务中心</w:t>
      </w:r>
      <w:r>
        <w:rPr>
          <w:rFonts w:hint="eastAsia" w:ascii="仿宋_GB2312" w:eastAsia="仿宋_GB2312"/>
          <w:color w:val="000000"/>
          <w:sz w:val="32"/>
          <w:szCs w:val="32"/>
        </w:rPr>
        <w:t>2024年度单位预算报表</w:t>
      </w:r>
      <w:r>
        <w:rPr>
          <w:rFonts w:hint="eastAsia" w:ascii="仿宋_GB2312" w:eastAsia="仿宋_GB2312" w:cs="宋体"/>
          <w:color w:val="000000"/>
          <w:kern w:val="0"/>
          <w:sz w:val="32"/>
          <w:szCs w:val="32"/>
          <w:lang w:val="zh-CN"/>
        </w:rPr>
        <w:t xml:space="preserve"> </w:t>
      </w:r>
    </w:p>
    <w:p>
      <w:pPr>
        <w:rPr>
          <w:rFonts w:ascii="仿宋_GB2312" w:eastAsia="仿宋_GB2312"/>
          <w:sz w:val="32"/>
          <w:szCs w:val="32"/>
        </w:rPr>
      </w:pPr>
    </w:p>
    <w:sectPr>
      <w:footerReference r:id="rId3"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4002EFF" w:usb1="C000247B" w:usb2="00000009" w:usb3="00000000" w:csb0="200001FF" w:csb1="00000000"/>
  </w:font>
  <w:font w:name="Droid Sans">
    <w:altName w:val="等线"/>
    <w:panose1 w:val="00000000000000000000"/>
    <w:charset w:val="00"/>
    <w:family w:val="auto"/>
    <w:pitch w:val="default"/>
    <w:sig w:usb0="00000000" w:usb1="00000000" w:usb2="00000000" w:usb3="00000000" w:csb0="00040001" w:csb1="00000000"/>
  </w:font>
  <w:font w:name="Cambria">
    <w:panose1 w:val="02040803050406030204"/>
    <w:charset w:val="00"/>
    <w:family w:val="roman"/>
    <w:pitch w:val="default"/>
    <w:sig w:usb0="E00006FF" w:usb1="4000045F"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5"/>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7 -</w:t>
                          </w:r>
                          <w:r>
                            <w:rPr>
                              <w:rFonts w:ascii="宋体" w:hAnsi="宋体"/>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WAAAAZHJzL1BLAQIUABQAAAAIAIdO&#10;4kDOqXm5zwAAAAUBAAAPAAAAAAAAAAEAIAAAADgAAABkcnMvZG93bnJldi54bWxQSwECFAAUAAAA&#10;CACHTuJAVDuIW6gBAABCAwAADgAAAAAAAAABACAAAAA0AQAAZHJzL2Uyb0RvYy54bWxQSwUGAAAA&#10;AAYABgBZAQAATgUAAAAA&#10;">
              <v:fill on="f" focussize="0,0"/>
              <v:stroke on="f"/>
              <v:imagedata o:title=""/>
              <o:lock v:ext="edit" aspectratio="f"/>
              <v:textbox inset="0mm,0mm,0mm,0mm" style="mso-fit-shape-to-text:t;">
                <w:txbxContent>
                  <w:p>
                    <w:pPr>
                      <w:pStyle w:val="5"/>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7 -</w:t>
                    </w:r>
                    <w:r>
                      <w:rPr>
                        <w:rFonts w:ascii="宋体" w:hAnsi="宋体"/>
                        <w:sz w:val="28"/>
                        <w:szCs w:val="28"/>
                      </w:rPr>
                      <w:fldChar w:fldCharType="end"/>
                    </w:r>
                  </w:p>
                </w:txbxContent>
              </v:textbox>
            </v:shape>
          </w:pict>
        </mc:Fallback>
      </mc:AlternateContent>
    </w:r>
  </w:p>
  <w:p>
    <w:pPr>
      <w:pStyle w:val="5"/>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2E9D19"/>
    <w:multiLevelType w:val="singleLevel"/>
    <w:tmpl w:val="FF2E9D19"/>
    <w:lvl w:ilvl="0" w:tentative="0">
      <w:start w:val="3"/>
      <w:numFmt w:val="chineseCounting"/>
      <w:suff w:val="nothing"/>
      <w:lvlText w:val="（%1）"/>
      <w:lvlJc w:val="left"/>
      <w:rPr>
        <w:rFonts w:hint="eastAsia"/>
      </w:rPr>
    </w:lvl>
  </w:abstractNum>
  <w:abstractNum w:abstractNumId="1">
    <w:nsid w:val="26D94056"/>
    <w:multiLevelType w:val="singleLevel"/>
    <w:tmpl w:val="26D94056"/>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true"/>
  <w:bordersDoNotSurroundFooter w:val="tru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xN2YyYjcyOTgxOTNjZWFiMmFlNzE5NWNhZGJiNzgifQ=="/>
  </w:docVars>
  <w:rsids>
    <w:rsidRoot w:val="00797F79"/>
    <w:rsid w:val="000330F8"/>
    <w:rsid w:val="00060DB5"/>
    <w:rsid w:val="000B36F0"/>
    <w:rsid w:val="000F1B3F"/>
    <w:rsid w:val="001E0067"/>
    <w:rsid w:val="001F690B"/>
    <w:rsid w:val="002A12DC"/>
    <w:rsid w:val="002F4657"/>
    <w:rsid w:val="00322D53"/>
    <w:rsid w:val="0032325C"/>
    <w:rsid w:val="003F0FA6"/>
    <w:rsid w:val="00466982"/>
    <w:rsid w:val="004A4AD1"/>
    <w:rsid w:val="004C5EFB"/>
    <w:rsid w:val="004D13BF"/>
    <w:rsid w:val="004E3451"/>
    <w:rsid w:val="00594149"/>
    <w:rsid w:val="005F6CF2"/>
    <w:rsid w:val="006313D7"/>
    <w:rsid w:val="006431D0"/>
    <w:rsid w:val="006D5291"/>
    <w:rsid w:val="006E309F"/>
    <w:rsid w:val="006F3CD8"/>
    <w:rsid w:val="00755A2F"/>
    <w:rsid w:val="00797F79"/>
    <w:rsid w:val="007B6D2A"/>
    <w:rsid w:val="007E5497"/>
    <w:rsid w:val="008A2E8D"/>
    <w:rsid w:val="008E27A5"/>
    <w:rsid w:val="00973574"/>
    <w:rsid w:val="009F505C"/>
    <w:rsid w:val="009F6ECC"/>
    <w:rsid w:val="00A65D16"/>
    <w:rsid w:val="00B042E3"/>
    <w:rsid w:val="00B07044"/>
    <w:rsid w:val="00B5069A"/>
    <w:rsid w:val="00B76861"/>
    <w:rsid w:val="00BB734F"/>
    <w:rsid w:val="00C31216"/>
    <w:rsid w:val="00C36E6F"/>
    <w:rsid w:val="00D61A62"/>
    <w:rsid w:val="00D7459F"/>
    <w:rsid w:val="00D765A2"/>
    <w:rsid w:val="00E51413"/>
    <w:rsid w:val="00E86250"/>
    <w:rsid w:val="00E9627B"/>
    <w:rsid w:val="00EA71A5"/>
    <w:rsid w:val="00F202EF"/>
    <w:rsid w:val="00F212FB"/>
    <w:rsid w:val="00FA25D1"/>
    <w:rsid w:val="00FC6964"/>
    <w:rsid w:val="01DE318D"/>
    <w:rsid w:val="0EFFF08B"/>
    <w:rsid w:val="1556FFE7"/>
    <w:rsid w:val="1E2F585A"/>
    <w:rsid w:val="1FB9016F"/>
    <w:rsid w:val="1FE6D21C"/>
    <w:rsid w:val="21DC5877"/>
    <w:rsid w:val="23735A5C"/>
    <w:rsid w:val="250B2A74"/>
    <w:rsid w:val="2F7EA178"/>
    <w:rsid w:val="2FF31CCC"/>
    <w:rsid w:val="33BF5DDC"/>
    <w:rsid w:val="37BFBFEE"/>
    <w:rsid w:val="37FD2E23"/>
    <w:rsid w:val="37FF18B9"/>
    <w:rsid w:val="3A90475B"/>
    <w:rsid w:val="3AEE7FDD"/>
    <w:rsid w:val="3B1D5808"/>
    <w:rsid w:val="3BE60D33"/>
    <w:rsid w:val="3BFE8EC0"/>
    <w:rsid w:val="3D3B750B"/>
    <w:rsid w:val="3DFB85D7"/>
    <w:rsid w:val="3DFFFEEB"/>
    <w:rsid w:val="3E578A4D"/>
    <w:rsid w:val="3E7746F2"/>
    <w:rsid w:val="3EAFE38B"/>
    <w:rsid w:val="3EFB023F"/>
    <w:rsid w:val="3F5B7215"/>
    <w:rsid w:val="3F6FC1FB"/>
    <w:rsid w:val="3F730350"/>
    <w:rsid w:val="3F76647A"/>
    <w:rsid w:val="3FBA30DB"/>
    <w:rsid w:val="3FBFE16E"/>
    <w:rsid w:val="3FF7F9C0"/>
    <w:rsid w:val="3FFBC816"/>
    <w:rsid w:val="45E2683F"/>
    <w:rsid w:val="48D44964"/>
    <w:rsid w:val="4A654192"/>
    <w:rsid w:val="4CD68066"/>
    <w:rsid w:val="4E67CE40"/>
    <w:rsid w:val="4F6D150F"/>
    <w:rsid w:val="4FEE37C7"/>
    <w:rsid w:val="517E78AA"/>
    <w:rsid w:val="53DF3E7F"/>
    <w:rsid w:val="545DF6FA"/>
    <w:rsid w:val="55DE48F6"/>
    <w:rsid w:val="57ADBE82"/>
    <w:rsid w:val="57E332DD"/>
    <w:rsid w:val="57E9CD93"/>
    <w:rsid w:val="57EB425A"/>
    <w:rsid w:val="596AEB91"/>
    <w:rsid w:val="59D7A30C"/>
    <w:rsid w:val="5BEE7D82"/>
    <w:rsid w:val="5BFC36A8"/>
    <w:rsid w:val="5F5F35ED"/>
    <w:rsid w:val="5FB4B9F0"/>
    <w:rsid w:val="5FD532B6"/>
    <w:rsid w:val="5FD56614"/>
    <w:rsid w:val="5FE95128"/>
    <w:rsid w:val="5FFFD6B5"/>
    <w:rsid w:val="67BF653D"/>
    <w:rsid w:val="67FBD21B"/>
    <w:rsid w:val="69CDDFC6"/>
    <w:rsid w:val="6AFBD4E9"/>
    <w:rsid w:val="6BFE087F"/>
    <w:rsid w:val="6BFF83C2"/>
    <w:rsid w:val="6C5F4E7D"/>
    <w:rsid w:val="6D3F2E98"/>
    <w:rsid w:val="6DFE07CC"/>
    <w:rsid w:val="6DFFB2B9"/>
    <w:rsid w:val="6ECB6C3E"/>
    <w:rsid w:val="6F3A9571"/>
    <w:rsid w:val="6FCDA027"/>
    <w:rsid w:val="6FDC8289"/>
    <w:rsid w:val="71CE2A46"/>
    <w:rsid w:val="71FF8133"/>
    <w:rsid w:val="729DB731"/>
    <w:rsid w:val="732F9AB6"/>
    <w:rsid w:val="73A5D6F8"/>
    <w:rsid w:val="74FD455A"/>
    <w:rsid w:val="75D907AF"/>
    <w:rsid w:val="763ED7FC"/>
    <w:rsid w:val="767FBCC8"/>
    <w:rsid w:val="76FE24ED"/>
    <w:rsid w:val="77773C62"/>
    <w:rsid w:val="777F4630"/>
    <w:rsid w:val="77DF7EB6"/>
    <w:rsid w:val="77FABEEF"/>
    <w:rsid w:val="78F52093"/>
    <w:rsid w:val="797F48DA"/>
    <w:rsid w:val="79CFCA19"/>
    <w:rsid w:val="7AEC944A"/>
    <w:rsid w:val="7B2E7344"/>
    <w:rsid w:val="7B503CA9"/>
    <w:rsid w:val="7B5B4466"/>
    <w:rsid w:val="7B8DB0E0"/>
    <w:rsid w:val="7BD7C5D4"/>
    <w:rsid w:val="7BDE2E6D"/>
    <w:rsid w:val="7BFAEA32"/>
    <w:rsid w:val="7C9BB5BA"/>
    <w:rsid w:val="7D3BD9B4"/>
    <w:rsid w:val="7D629DCE"/>
    <w:rsid w:val="7D7E1C9B"/>
    <w:rsid w:val="7DAF9F6F"/>
    <w:rsid w:val="7DDF7761"/>
    <w:rsid w:val="7DF72F40"/>
    <w:rsid w:val="7DFBA975"/>
    <w:rsid w:val="7E7F7957"/>
    <w:rsid w:val="7EBE6155"/>
    <w:rsid w:val="7F3BE6B0"/>
    <w:rsid w:val="7F3F94D5"/>
    <w:rsid w:val="7F3FC408"/>
    <w:rsid w:val="7F3FF262"/>
    <w:rsid w:val="7F7AD461"/>
    <w:rsid w:val="7F9BB94C"/>
    <w:rsid w:val="7FB5D6F6"/>
    <w:rsid w:val="7FCD88E5"/>
    <w:rsid w:val="7FE2A0EF"/>
    <w:rsid w:val="7FEF0E12"/>
    <w:rsid w:val="7FF59EC3"/>
    <w:rsid w:val="7FF9E7AB"/>
    <w:rsid w:val="7FFA4ACA"/>
    <w:rsid w:val="7FFFFE22"/>
    <w:rsid w:val="97EF9245"/>
    <w:rsid w:val="9B6FD390"/>
    <w:rsid w:val="9BB9A070"/>
    <w:rsid w:val="9BFF5F19"/>
    <w:rsid w:val="9FEBAB83"/>
    <w:rsid w:val="9FF55FF2"/>
    <w:rsid w:val="9FFDCF93"/>
    <w:rsid w:val="ADDB0121"/>
    <w:rsid w:val="AF738C62"/>
    <w:rsid w:val="AF77E555"/>
    <w:rsid w:val="AFFE8D53"/>
    <w:rsid w:val="AFFEB70B"/>
    <w:rsid w:val="AFFFF77B"/>
    <w:rsid w:val="B39883F1"/>
    <w:rsid w:val="B3FEB972"/>
    <w:rsid w:val="B5DAA59F"/>
    <w:rsid w:val="B6E956E9"/>
    <w:rsid w:val="B6FFE3F9"/>
    <w:rsid w:val="B77D36FD"/>
    <w:rsid w:val="B9C511BB"/>
    <w:rsid w:val="B9E3AE77"/>
    <w:rsid w:val="B9FF9DD8"/>
    <w:rsid w:val="BA8DB816"/>
    <w:rsid w:val="BB7F4D3C"/>
    <w:rsid w:val="BBAFC879"/>
    <w:rsid w:val="BBFDC091"/>
    <w:rsid w:val="BC3FB194"/>
    <w:rsid w:val="BC93032D"/>
    <w:rsid w:val="BCDC4AFD"/>
    <w:rsid w:val="BDFF4B09"/>
    <w:rsid w:val="BEEF0D30"/>
    <w:rsid w:val="BEFF6650"/>
    <w:rsid w:val="BF7B23E6"/>
    <w:rsid w:val="BFBFE194"/>
    <w:rsid w:val="BFCFAEF2"/>
    <w:rsid w:val="BFDD01AC"/>
    <w:rsid w:val="BFEF3728"/>
    <w:rsid w:val="BFEF4CA0"/>
    <w:rsid w:val="BFFB7EB6"/>
    <w:rsid w:val="BFFEAB08"/>
    <w:rsid w:val="C2FFBE2F"/>
    <w:rsid w:val="CBBEBAC1"/>
    <w:rsid w:val="CDED7A5A"/>
    <w:rsid w:val="CDFD2304"/>
    <w:rsid w:val="CEF1B5F5"/>
    <w:rsid w:val="CEFE275B"/>
    <w:rsid w:val="CF0B42D0"/>
    <w:rsid w:val="CF9E952C"/>
    <w:rsid w:val="D2EF087E"/>
    <w:rsid w:val="D3F5DBB9"/>
    <w:rsid w:val="D47DE06C"/>
    <w:rsid w:val="D6CF4649"/>
    <w:rsid w:val="D6FB18F9"/>
    <w:rsid w:val="DA9ADC14"/>
    <w:rsid w:val="DC776690"/>
    <w:rsid w:val="DC7B698E"/>
    <w:rsid w:val="DCBE10CA"/>
    <w:rsid w:val="DDBB17FD"/>
    <w:rsid w:val="DDCB6A4D"/>
    <w:rsid w:val="DEE7D467"/>
    <w:rsid w:val="DEFB073E"/>
    <w:rsid w:val="DEFE8523"/>
    <w:rsid w:val="DF5F95EA"/>
    <w:rsid w:val="DF97CC56"/>
    <w:rsid w:val="DF9E774E"/>
    <w:rsid w:val="E6C74982"/>
    <w:rsid w:val="E732351F"/>
    <w:rsid w:val="E7D3D047"/>
    <w:rsid w:val="E8FF6CA0"/>
    <w:rsid w:val="EB6F6027"/>
    <w:rsid w:val="EBBD09D3"/>
    <w:rsid w:val="ECBFB19E"/>
    <w:rsid w:val="EF3D4EF9"/>
    <w:rsid w:val="EF7778AA"/>
    <w:rsid w:val="EFDB4341"/>
    <w:rsid w:val="EFDB7C9A"/>
    <w:rsid w:val="EFE93D0B"/>
    <w:rsid w:val="EFEF30CE"/>
    <w:rsid w:val="EFFD6B90"/>
    <w:rsid w:val="EFFF9813"/>
    <w:rsid w:val="F279611C"/>
    <w:rsid w:val="F3F77884"/>
    <w:rsid w:val="F54BAC81"/>
    <w:rsid w:val="F57F86CD"/>
    <w:rsid w:val="F5FFC647"/>
    <w:rsid w:val="F6BB828E"/>
    <w:rsid w:val="F73FF6F5"/>
    <w:rsid w:val="F74FC207"/>
    <w:rsid w:val="F7BB185C"/>
    <w:rsid w:val="F7EBD5AB"/>
    <w:rsid w:val="F7EF626F"/>
    <w:rsid w:val="F7F6721E"/>
    <w:rsid w:val="F7F675EC"/>
    <w:rsid w:val="F85919AA"/>
    <w:rsid w:val="F8FB073F"/>
    <w:rsid w:val="F9FEFD56"/>
    <w:rsid w:val="F9FF9E6D"/>
    <w:rsid w:val="FB753B34"/>
    <w:rsid w:val="FB8BF0E3"/>
    <w:rsid w:val="FBA5D970"/>
    <w:rsid w:val="FBCBCAF3"/>
    <w:rsid w:val="FBDAEB55"/>
    <w:rsid w:val="FBFCB7DB"/>
    <w:rsid w:val="FBFF8EB0"/>
    <w:rsid w:val="FBFFC487"/>
    <w:rsid w:val="FCFFB466"/>
    <w:rsid w:val="FD3EBDE3"/>
    <w:rsid w:val="FD77AC96"/>
    <w:rsid w:val="FD7B8383"/>
    <w:rsid w:val="FDBF964B"/>
    <w:rsid w:val="FDF746E5"/>
    <w:rsid w:val="FDF9C66B"/>
    <w:rsid w:val="FDFBB3BF"/>
    <w:rsid w:val="FEDFAC7C"/>
    <w:rsid w:val="FF37C4AF"/>
    <w:rsid w:val="FF3B22F4"/>
    <w:rsid w:val="FF6924AB"/>
    <w:rsid w:val="FF7EBEF1"/>
    <w:rsid w:val="FFAE5527"/>
    <w:rsid w:val="FFD77F58"/>
    <w:rsid w:val="FFDA8D4D"/>
    <w:rsid w:val="FFDF0294"/>
    <w:rsid w:val="FFE76197"/>
    <w:rsid w:val="FFEDE558"/>
    <w:rsid w:val="FFEFCFF3"/>
    <w:rsid w:val="FFF20AD4"/>
    <w:rsid w:val="FFF6E6ED"/>
    <w:rsid w:val="FFF70B16"/>
    <w:rsid w:val="FFFAE4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Droid Sans" w:hAnsi="Droid Sans" w:eastAsia="宋体" w:cs="Droid Sans"/>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Droid Sans"/>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cs="Times New Roman"/>
      <w:b/>
      <w:bCs/>
      <w:kern w:val="0"/>
      <w:sz w:val="36"/>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qFormat/>
    <w:uiPriority w:val="0"/>
    <w:rPr>
      <w:rFonts w:eastAsia="楷体_GB2312"/>
      <w:sz w:val="32"/>
      <w:szCs w:val="20"/>
    </w:rPr>
  </w:style>
  <w:style w:type="paragraph" w:styleId="4">
    <w:name w:val="Balloon Text"/>
    <w:basedOn w:val="1"/>
    <w:link w:val="10"/>
    <w:qFormat/>
    <w:uiPriority w:val="0"/>
    <w:rPr>
      <w:sz w:val="18"/>
      <w:szCs w:val="18"/>
    </w:rPr>
  </w:style>
  <w:style w:type="paragraph" w:styleId="5">
    <w:name w:val="footer"/>
    <w:basedOn w:val="1"/>
    <w:link w:val="11"/>
    <w:qFormat/>
    <w:uiPriority w:val="99"/>
    <w:pPr>
      <w:tabs>
        <w:tab w:val="center" w:pos="4153"/>
        <w:tab w:val="right" w:pos="8306"/>
      </w:tabs>
      <w:snapToGrid w:val="0"/>
      <w:jc w:val="left"/>
    </w:pPr>
    <w:rPr>
      <w:sz w:val="18"/>
      <w:szCs w:val="20"/>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qFormat/>
    <w:uiPriority w:val="0"/>
  </w:style>
  <w:style w:type="character" w:customStyle="1" w:styleId="10">
    <w:name w:val="批注框文本 字符"/>
    <w:link w:val="4"/>
    <w:qFormat/>
    <w:uiPriority w:val="0"/>
    <w:rPr>
      <w:rFonts w:ascii="Times New Roman" w:hAnsi="Times New Roman"/>
      <w:kern w:val="2"/>
      <w:sz w:val="18"/>
      <w:szCs w:val="18"/>
    </w:rPr>
  </w:style>
  <w:style w:type="character" w:customStyle="1" w:styleId="11">
    <w:name w:val="页脚 字符"/>
    <w:link w:val="5"/>
    <w:qFormat/>
    <w:uiPriority w:val="99"/>
    <w:rPr>
      <w:rFonts w:ascii="Times New Roman" w:hAnsi="Times New Roman"/>
      <w:kern w:val="2"/>
      <w:sz w:val="18"/>
    </w:rPr>
  </w:style>
  <w:style w:type="character" w:customStyle="1" w:styleId="12">
    <w:name w:val="页眉 字符"/>
    <w:link w:val="6"/>
    <w:qFormat/>
    <w:uiPriority w:val="0"/>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1" i="0" u="none" strike="noStrike" kern="1200" baseline="0">
              <a:solidFill>
                <a:schemeClr val="tx1">
                  <a:lumMod val="75000"/>
                  <a:lumOff val="25000"/>
                </a:schemeClr>
              </a:solidFill>
              <a:latin typeface="+mn-lt"/>
              <a:ea typeface="+mn-ea"/>
              <a:cs typeface="+mn-cs"/>
            </a:defRPr>
          </a:pPr>
        </a:p>
      </c:txPr>
    </c:title>
    <c:autoTitleDeleted val="false"/>
    <c:plotArea>
      <c:layout/>
      <c:pieChart>
        <c:varyColors val="true"/>
        <c:ser>
          <c:idx val="0"/>
          <c:order val="0"/>
          <c:tx>
            <c:strRef>
              <c:f>Sheet1!$B$1</c:f>
              <c:strCache>
                <c:ptCount val="1"/>
                <c:pt idx="0">
                  <c:v>收入预算</c:v>
                </c:pt>
              </c:strCache>
            </c:strRef>
          </c:tx>
          <c:spPr/>
          <c:explosion val="0"/>
          <c:dPt>
            <c:idx val="0"/>
            <c:bubble3D val="false"/>
            <c:spPr>
              <a:solidFill>
                <a:schemeClr val="accent1"/>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ctr"/>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一般公共预算拨款收入</c:v>
                </c:pt>
              </c:strCache>
            </c:strRef>
          </c:cat>
          <c:val>
            <c:numRef>
              <c:f>Sheet1!$B$2</c:f>
              <c:numCache>
                <c:formatCode>0%</c:formatCode>
                <c:ptCount val="1"/>
                <c:pt idx="0">
                  <c:v>1</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r"/>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列1</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dLbl>
              <c:idx val="1"/>
              <c:layout>
                <c:manualLayout>
                  <c:x val="0.0149280469449598"/>
                  <c:y val="0.0767941683536958"/>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ctr"/>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0.00%</c:formatCode>
                <c:ptCount val="2"/>
                <c:pt idx="0">
                  <c:v>0.9361</c:v>
                </c:pt>
                <c:pt idx="1">
                  <c:v>0.0639</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8</Pages>
  <Words>375</Words>
  <Characters>2141</Characters>
  <Lines>17</Lines>
  <Paragraphs>5</Paragraphs>
  <TotalTime>25</TotalTime>
  <ScaleCrop>false</ScaleCrop>
  <LinksUpToDate>false</LinksUpToDate>
  <CharactersWithSpaces>2511</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2024-03-05T07:49:00Z</dcterms:created>
  <dc:creator>马荣丽</dc:creator>
  <cp:lastModifiedBy>18500299229</cp:lastModifiedBy>
  <cp:lastPrinted>2024-03-05T08:19:00Z</cp:lastPrinted>
  <dcterms:modified xsi:type="dcterms:W3CDTF">2024-03-11T16:40:35Z</dcterms:modified>
  <dc:title>处领导：</dc:title>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7188493C9D30497FAECFB201C850E865_13</vt:lpwstr>
  </property>
</Properties>
</file>