
<file path=[Content_Types].xml><?xml version="1.0" encoding="utf-8"?>
<Types xmlns="http://schemas.openxmlformats.org/package/2006/content-types">
  <Default Extension="xml" ContentType="application/xml"/>
  <Default Extension="xlsx" ContentType="application/vnd.openxmlformats-officedocument.spreadsheetml.sheet"/>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olors1.xml" ContentType="application/vnd.ms-office.chartcolorstyle+xml"/>
  <Override PartName="/word/charts/style1.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方正小标宋简体" w:eastAsia="方正小标宋简体"/>
          <w:color w:val="000000"/>
          <w:sz w:val="44"/>
          <w:szCs w:val="44"/>
        </w:rPr>
      </w:pPr>
    </w:p>
    <w:p>
      <w:pPr>
        <w:spacing w:line="560" w:lineRule="exact"/>
        <w:jc w:val="center"/>
        <w:rPr>
          <w:rFonts w:ascii="方正小标宋简体" w:eastAsia="方正小标宋简体"/>
          <w:color w:val="000000"/>
          <w:sz w:val="44"/>
          <w:szCs w:val="44"/>
        </w:rPr>
      </w:pPr>
      <w:r>
        <w:rPr>
          <w:rFonts w:hint="eastAsia" w:ascii="方正小标宋简体" w:eastAsia="方正小标宋简体"/>
          <w:color w:val="000000"/>
          <w:sz w:val="44"/>
          <w:szCs w:val="44"/>
        </w:rPr>
        <w:t>北京市教育政务服务中心2024年度单位预算信息公开</w:t>
      </w:r>
    </w:p>
    <w:p>
      <w:pPr>
        <w:spacing w:line="240" w:lineRule="exact"/>
        <w:jc w:val="center"/>
        <w:rPr>
          <w:rFonts w:ascii="方正小标宋简体" w:eastAsia="方正小标宋简体"/>
          <w:color w:val="000000"/>
          <w:sz w:val="32"/>
          <w:szCs w:val="32"/>
        </w:rPr>
      </w:pPr>
    </w:p>
    <w:p>
      <w:pPr>
        <w:spacing w:line="560" w:lineRule="exact"/>
        <w:jc w:val="center"/>
        <w:rPr>
          <w:rFonts w:ascii="方正小标宋简体" w:eastAsia="方正小标宋简体"/>
          <w:color w:val="000000"/>
          <w:sz w:val="32"/>
          <w:szCs w:val="32"/>
        </w:rPr>
      </w:pPr>
      <w:r>
        <w:rPr>
          <w:rFonts w:hint="eastAsia" w:ascii="方正小标宋简体" w:eastAsia="方正小标宋简体"/>
          <w:color w:val="000000"/>
          <w:sz w:val="32"/>
          <w:szCs w:val="32"/>
        </w:rPr>
        <w:t>目   录</w:t>
      </w:r>
    </w:p>
    <w:p>
      <w:pPr>
        <w:spacing w:line="240" w:lineRule="exact"/>
        <w:jc w:val="center"/>
        <w:rPr>
          <w:rFonts w:ascii="方正小标宋简体" w:eastAsia="方正小标宋简体"/>
          <w:color w:val="000000"/>
          <w:sz w:val="32"/>
          <w:szCs w:val="32"/>
        </w:rPr>
      </w:pPr>
    </w:p>
    <w:p>
      <w:pPr>
        <w:spacing w:line="560" w:lineRule="exact"/>
        <w:rPr>
          <w:rFonts w:ascii="黑体" w:hAnsi="黑体" w:eastAsia="黑体" w:cs="黑体"/>
          <w:color w:val="000000"/>
          <w:sz w:val="32"/>
          <w:szCs w:val="32"/>
        </w:rPr>
      </w:pPr>
      <w:r>
        <w:rPr>
          <w:rFonts w:hint="eastAsia" w:ascii="黑体" w:hAnsi="黑体" w:eastAsia="黑体" w:cs="黑体"/>
          <w:color w:val="000000"/>
          <w:sz w:val="32"/>
          <w:szCs w:val="32"/>
        </w:rPr>
        <w:t>第一部分 2024年度单位预算情况说明</w:t>
      </w:r>
    </w:p>
    <w:p>
      <w:pPr>
        <w:spacing w:line="560" w:lineRule="exact"/>
        <w:ind w:firstLine="640" w:firstLineChars="200"/>
        <w:rPr>
          <w:rFonts w:ascii="仿宋_GB2312" w:hAnsi="仿宋_GB2312" w:eastAsia="仿宋_GB2312" w:cs="仿宋_GB2312"/>
          <w:color w:val="000000"/>
          <w:sz w:val="32"/>
          <w:szCs w:val="32"/>
          <w:lang w:val="en"/>
        </w:rPr>
      </w:pPr>
      <w:r>
        <w:rPr>
          <w:rFonts w:hint="eastAsia" w:ascii="仿宋_GB2312" w:hAnsi="仿宋_GB2312" w:eastAsia="仿宋_GB2312" w:cs="仿宋_GB2312"/>
          <w:color w:val="000000"/>
          <w:sz w:val="32"/>
          <w:szCs w:val="32"/>
        </w:rPr>
        <w:t>一、单位情况说明</w:t>
      </w:r>
    </w:p>
    <w:p>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二、收入预算情况说明</w:t>
      </w:r>
    </w:p>
    <w:p>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三、支出预算情况说明</w:t>
      </w:r>
    </w:p>
    <w:p>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四、财政拨款“三公”经费预算情况说明</w:t>
      </w:r>
    </w:p>
    <w:p>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五、其他情况说明</w:t>
      </w:r>
    </w:p>
    <w:p>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六、名词解释</w:t>
      </w:r>
    </w:p>
    <w:p>
      <w:pPr>
        <w:spacing w:line="560" w:lineRule="exact"/>
        <w:rPr>
          <w:rFonts w:ascii="黑体" w:hAnsi="黑体" w:eastAsia="黑体" w:cs="黑体"/>
          <w:color w:val="000000"/>
          <w:sz w:val="32"/>
          <w:szCs w:val="32"/>
        </w:rPr>
      </w:pPr>
      <w:r>
        <w:rPr>
          <w:rFonts w:hint="eastAsia" w:ascii="黑体" w:hAnsi="黑体" w:eastAsia="黑体" w:cs="黑体"/>
          <w:color w:val="000000"/>
          <w:sz w:val="32"/>
          <w:szCs w:val="32"/>
        </w:rPr>
        <w:t>第二部分 2024年度单位预算报表</w:t>
      </w:r>
    </w:p>
    <w:p>
      <w:pPr>
        <w:autoSpaceDE w:val="0"/>
        <w:autoSpaceDN w:val="0"/>
        <w:adjustRightInd w:val="0"/>
        <w:spacing w:line="560" w:lineRule="exact"/>
        <w:ind w:firstLine="640" w:firstLineChars="20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一、收支总表</w:t>
      </w:r>
    </w:p>
    <w:p>
      <w:pPr>
        <w:autoSpaceDE w:val="0"/>
        <w:autoSpaceDN w:val="0"/>
        <w:adjustRightInd w:val="0"/>
        <w:spacing w:line="560" w:lineRule="exact"/>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 xml:space="preserve">    二、收入总表    </w:t>
      </w:r>
    </w:p>
    <w:p>
      <w:pPr>
        <w:autoSpaceDE w:val="0"/>
        <w:autoSpaceDN w:val="0"/>
        <w:adjustRightInd w:val="0"/>
        <w:spacing w:line="560" w:lineRule="exact"/>
        <w:ind w:firstLine="64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三、支出总表</w:t>
      </w:r>
    </w:p>
    <w:p>
      <w:pPr>
        <w:autoSpaceDE w:val="0"/>
        <w:autoSpaceDN w:val="0"/>
        <w:adjustRightInd w:val="0"/>
        <w:spacing w:line="560" w:lineRule="exact"/>
        <w:ind w:firstLine="64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四、项目支出表</w:t>
      </w:r>
    </w:p>
    <w:p>
      <w:pPr>
        <w:autoSpaceDE w:val="0"/>
        <w:autoSpaceDN w:val="0"/>
        <w:adjustRightInd w:val="0"/>
        <w:spacing w:line="560" w:lineRule="exact"/>
        <w:ind w:firstLine="64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五、政府采购预算明细表</w:t>
      </w:r>
    </w:p>
    <w:p>
      <w:pPr>
        <w:autoSpaceDE w:val="0"/>
        <w:autoSpaceDN w:val="0"/>
        <w:adjustRightInd w:val="0"/>
        <w:spacing w:line="560" w:lineRule="exact"/>
        <w:ind w:firstLine="640" w:firstLineChars="20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六、财政拨款收支总表</w:t>
      </w:r>
    </w:p>
    <w:p>
      <w:pPr>
        <w:autoSpaceDE w:val="0"/>
        <w:autoSpaceDN w:val="0"/>
        <w:adjustRightInd w:val="0"/>
        <w:spacing w:line="560" w:lineRule="exact"/>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 xml:space="preserve">    七、一般公共预算财政拨款支出表</w:t>
      </w:r>
    </w:p>
    <w:p>
      <w:pPr>
        <w:autoSpaceDE w:val="0"/>
        <w:autoSpaceDN w:val="0"/>
        <w:adjustRightInd w:val="0"/>
        <w:spacing w:line="560" w:lineRule="exact"/>
        <w:jc w:val="left"/>
        <w:rPr>
          <w:rFonts w:ascii="仿宋_GB2312" w:hAnsi="仿宋_GB2312" w:eastAsia="仿宋_GB2312" w:cs="仿宋_GB2312"/>
          <w:color w:val="000000"/>
          <w:spacing w:val="-16"/>
          <w:kern w:val="0"/>
          <w:sz w:val="32"/>
          <w:szCs w:val="32"/>
          <w:lang w:val="zh-CN"/>
        </w:rPr>
      </w:pPr>
      <w:r>
        <w:rPr>
          <w:rFonts w:hint="eastAsia" w:ascii="仿宋_GB2312" w:hAnsi="仿宋_GB2312" w:eastAsia="仿宋_GB2312" w:cs="仿宋_GB2312"/>
          <w:color w:val="000000"/>
          <w:kern w:val="0"/>
          <w:sz w:val="32"/>
          <w:szCs w:val="32"/>
          <w:lang w:val="zh-CN"/>
        </w:rPr>
        <w:t xml:space="preserve">    </w:t>
      </w:r>
      <w:r>
        <w:rPr>
          <w:rFonts w:hint="eastAsia" w:ascii="仿宋_GB2312" w:hAnsi="仿宋_GB2312" w:eastAsia="仿宋_GB2312" w:cs="仿宋_GB2312"/>
          <w:color w:val="000000"/>
          <w:spacing w:val="-16"/>
          <w:kern w:val="0"/>
          <w:sz w:val="32"/>
          <w:szCs w:val="32"/>
          <w:lang w:val="zh-CN"/>
        </w:rPr>
        <w:t>八、一般公共预算财政拨款基本支出表</w:t>
      </w:r>
    </w:p>
    <w:p>
      <w:pPr>
        <w:autoSpaceDE w:val="0"/>
        <w:autoSpaceDN w:val="0"/>
        <w:adjustRightInd w:val="0"/>
        <w:spacing w:line="560" w:lineRule="exact"/>
        <w:ind w:firstLine="640" w:firstLineChars="20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九、政府性基金预算财政拨款支出表</w:t>
      </w:r>
    </w:p>
    <w:p>
      <w:pPr>
        <w:autoSpaceDE w:val="0"/>
        <w:autoSpaceDN w:val="0"/>
        <w:adjustRightInd w:val="0"/>
        <w:spacing w:line="560" w:lineRule="exact"/>
        <w:ind w:firstLine="640" w:firstLineChars="200"/>
        <w:jc w:val="left"/>
        <w:rPr>
          <w:rFonts w:ascii="仿宋_GB2312" w:hAnsi="仿宋_GB2312" w:eastAsia="仿宋_GB2312" w:cs="仿宋_GB2312"/>
          <w:color w:val="000000"/>
          <w:spacing w:val="-16"/>
          <w:kern w:val="0"/>
          <w:sz w:val="32"/>
          <w:szCs w:val="32"/>
          <w:lang w:val="zh-CN"/>
        </w:rPr>
      </w:pPr>
      <w:r>
        <w:rPr>
          <w:rFonts w:hint="eastAsia" w:ascii="仿宋_GB2312" w:hAnsi="仿宋_GB2312" w:eastAsia="仿宋_GB2312" w:cs="仿宋_GB2312"/>
          <w:color w:val="000000"/>
          <w:kern w:val="0"/>
          <w:sz w:val="32"/>
          <w:szCs w:val="32"/>
          <w:lang w:val="zh-CN"/>
        </w:rPr>
        <w:t>十、国有资本经营预算财政拨款支出表</w:t>
      </w:r>
    </w:p>
    <w:p>
      <w:pPr>
        <w:autoSpaceDE w:val="0"/>
        <w:autoSpaceDN w:val="0"/>
        <w:adjustRightInd w:val="0"/>
        <w:spacing w:line="560" w:lineRule="exact"/>
        <w:ind w:firstLine="576" w:firstLineChars="20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spacing w:val="-16"/>
          <w:kern w:val="0"/>
          <w:sz w:val="32"/>
          <w:szCs w:val="32"/>
          <w:lang w:val="zh-CN"/>
        </w:rPr>
        <w:t>十一、财政拨款</w:t>
      </w:r>
      <w:r>
        <w:rPr>
          <w:rFonts w:hint="eastAsia" w:ascii="仿宋_GB2312" w:hAnsi="仿宋_GB2312" w:eastAsia="仿宋_GB2312" w:cs="仿宋_GB2312"/>
          <w:color w:val="000000"/>
          <w:kern w:val="0"/>
          <w:sz w:val="32"/>
          <w:szCs w:val="32"/>
          <w:lang w:val="zh-CN"/>
        </w:rPr>
        <w:t>“三公”经费支出表</w:t>
      </w:r>
    </w:p>
    <w:p>
      <w:pPr>
        <w:autoSpaceDE w:val="0"/>
        <w:autoSpaceDN w:val="0"/>
        <w:adjustRightInd w:val="0"/>
        <w:spacing w:line="560" w:lineRule="exact"/>
        <w:ind w:firstLine="568" w:firstLineChars="20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spacing w:val="-18"/>
          <w:kern w:val="0"/>
          <w:sz w:val="32"/>
          <w:szCs w:val="32"/>
          <w:lang w:val="zh-CN"/>
        </w:rPr>
        <w:t>十</w:t>
      </w:r>
      <w:r>
        <w:rPr>
          <w:rFonts w:hint="eastAsia" w:ascii="仿宋_GB2312" w:hAnsi="仿宋_GB2312" w:eastAsia="仿宋_GB2312" w:cs="仿宋_GB2312"/>
          <w:color w:val="000000"/>
          <w:kern w:val="0"/>
          <w:sz w:val="32"/>
          <w:szCs w:val="32"/>
          <w:lang w:val="zh-CN"/>
        </w:rPr>
        <w:t>二、政府购买服务预算财政拨款明细表</w:t>
      </w:r>
    </w:p>
    <w:p>
      <w:pPr>
        <w:autoSpaceDE w:val="0"/>
        <w:autoSpaceDN w:val="0"/>
        <w:adjustRightInd w:val="0"/>
        <w:spacing w:line="560" w:lineRule="exact"/>
        <w:ind w:firstLine="640" w:firstLineChars="20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十三、项目支出绩效目标表</w:t>
      </w:r>
    </w:p>
    <w:p>
      <w:pPr>
        <w:spacing w:line="560" w:lineRule="exact"/>
        <w:jc w:val="center"/>
        <w:rPr>
          <w:rFonts w:ascii="仿宋_GB2312" w:hAnsi="仿宋_GB2312" w:eastAsia="仿宋_GB2312" w:cs="仿宋_GB2312"/>
          <w:color w:val="000000"/>
          <w:sz w:val="36"/>
          <w:szCs w:val="36"/>
        </w:rPr>
      </w:pPr>
    </w:p>
    <w:p>
      <w:pPr>
        <w:pStyle w:val="2"/>
      </w:pPr>
    </w:p>
    <w:p/>
    <w:p>
      <w:pPr>
        <w:pStyle w:val="2"/>
      </w:pPr>
    </w:p>
    <w:p/>
    <w:p>
      <w:pPr>
        <w:spacing w:line="560" w:lineRule="exact"/>
        <w:jc w:val="center"/>
        <w:rPr>
          <w:rFonts w:ascii="仿宋_GB2312" w:hAnsi="仿宋_GB2312" w:eastAsia="仿宋_GB2312" w:cs="仿宋_GB2312"/>
          <w:color w:val="000000"/>
          <w:sz w:val="36"/>
          <w:szCs w:val="36"/>
        </w:rPr>
      </w:pPr>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6"/>
          <w:szCs w:val="36"/>
        </w:rPr>
      </w:pPr>
    </w:p>
    <w:p>
      <w:pPr>
        <w:pStyle w:val="2"/>
      </w:pPr>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2"/>
          <w:szCs w:val="32"/>
        </w:rPr>
      </w:pPr>
      <w:r>
        <w:rPr>
          <w:rFonts w:ascii="方正小标宋简体" w:eastAsia="方正小标宋简体"/>
          <w:color w:val="000000"/>
          <w:sz w:val="36"/>
          <w:szCs w:val="36"/>
        </w:rPr>
        <w:br w:type="page"/>
      </w:r>
      <w:r>
        <w:rPr>
          <w:rFonts w:hint="eastAsia" w:ascii="方正小标宋简体" w:eastAsia="方正小标宋简体"/>
          <w:color w:val="000000"/>
          <w:sz w:val="36"/>
          <w:szCs w:val="36"/>
        </w:rPr>
        <w:t>第一部分  2024年度单位预算情况说明</w:t>
      </w:r>
    </w:p>
    <w:p>
      <w:pPr>
        <w:spacing w:line="560" w:lineRule="exact"/>
        <w:ind w:firstLine="640" w:firstLineChars="200"/>
        <w:rPr>
          <w:rFonts w:hint="eastAsia" w:ascii="黑体" w:eastAsia="黑体"/>
          <w:color w:val="000000"/>
          <w:sz w:val="32"/>
          <w:szCs w:val="32"/>
        </w:rPr>
      </w:pPr>
    </w:p>
    <w:p>
      <w:pPr>
        <w:spacing w:line="560" w:lineRule="exact"/>
        <w:ind w:firstLine="640" w:firstLineChars="200"/>
        <w:rPr>
          <w:rFonts w:ascii="黑体" w:eastAsia="黑体"/>
          <w:color w:val="000000"/>
          <w:sz w:val="32"/>
          <w:szCs w:val="32"/>
        </w:rPr>
      </w:pPr>
      <w:r>
        <w:rPr>
          <w:rFonts w:hint="eastAsia" w:ascii="黑体" w:eastAsia="黑体"/>
          <w:color w:val="000000"/>
          <w:sz w:val="32"/>
          <w:szCs w:val="32"/>
        </w:rPr>
        <w:t>一、单位情况说明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_GB2312" w:eastAsia="楷体_GB2312"/>
          <w:color w:val="000000"/>
          <w:sz w:val="32"/>
          <w:szCs w:val="32"/>
        </w:rPr>
      </w:pPr>
      <w:r>
        <w:rPr>
          <w:rFonts w:hint="eastAsia" w:ascii="楷体_GB2312" w:eastAsia="楷体_GB2312"/>
          <w:color w:val="000000"/>
          <w:sz w:val="32"/>
          <w:szCs w:val="32"/>
        </w:rPr>
        <w:t>（一）本单位性质、职责等情况</w:t>
      </w:r>
    </w:p>
    <w:p>
      <w:pPr>
        <w:keepNext w:val="0"/>
        <w:keepLines w:val="0"/>
        <w:pageBreakBefore w:val="0"/>
        <w:widowControl w:val="0"/>
        <w:kinsoku/>
        <w:wordWrap/>
        <w:overflowPunct/>
        <w:topLinePunct w:val="0"/>
        <w:autoSpaceDE/>
        <w:autoSpaceDN/>
        <w:bidi w:val="0"/>
        <w:adjustRightInd/>
        <w:snapToGrid/>
        <w:spacing w:line="560" w:lineRule="exact"/>
        <w:ind w:firstLine="555"/>
        <w:textAlignment w:val="auto"/>
        <w:outlineLvl w:val="0"/>
        <w:rPr>
          <w:rFonts w:hint="eastAsia" w:ascii="仿宋_GB2312" w:eastAsia="仿宋_GB2312"/>
          <w:sz w:val="32"/>
          <w:szCs w:val="32"/>
        </w:rPr>
      </w:pPr>
      <w:r>
        <w:rPr>
          <w:rFonts w:hint="eastAsia" w:ascii="仿宋_GB2312" w:eastAsia="仿宋_GB2312"/>
          <w:sz w:val="32"/>
          <w:szCs w:val="32"/>
        </w:rPr>
        <w:t>北京市教育政务服务中心是公益一类事业单位，主要职责为负责北京市教育委员会政务服务相关事务性工作。承担政务服务进驻窗口事项的事务性工作；承担北京市教育系统市民热线相关工作；承担信息公开、政务公开事务性工作；承担政风行风及政民互动平台相关事务性工作；协助机要交换工作；承担北京市学位授予信息管理及报送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_GB2312" w:eastAsia="楷体_GB2312"/>
          <w:color w:val="000000"/>
          <w:sz w:val="32"/>
          <w:szCs w:val="32"/>
        </w:rPr>
      </w:pPr>
      <w:r>
        <w:rPr>
          <w:rFonts w:hint="eastAsia" w:ascii="楷体_GB2312" w:eastAsia="楷体_GB2312"/>
          <w:color w:val="000000"/>
          <w:sz w:val="32"/>
          <w:szCs w:val="32"/>
        </w:rPr>
        <w:t>（二）机构设置情况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楷体" w:eastAsia="仿宋_GB2312" w:cs="楷体"/>
          <w:bCs/>
          <w:color w:val="000000"/>
          <w:sz w:val="32"/>
          <w:szCs w:val="32"/>
        </w:rPr>
      </w:pPr>
      <w:r>
        <w:rPr>
          <w:rFonts w:hint="eastAsia" w:ascii="仿宋_GB2312" w:eastAsia="仿宋_GB2312"/>
          <w:sz w:val="32"/>
          <w:szCs w:val="32"/>
        </w:rPr>
        <w:t>北京市教育政务服务中心内设4个机构，分别为：</w:t>
      </w:r>
      <w:r>
        <w:rPr>
          <w:rFonts w:hint="eastAsia" w:ascii="仿宋_GB2312" w:hAnsi="楷体" w:eastAsia="仿宋_GB2312" w:cs="楷体"/>
          <w:bCs/>
          <w:color w:val="000000"/>
          <w:sz w:val="32"/>
          <w:szCs w:val="32"/>
        </w:rPr>
        <w:t>政务信息科、行政审批服务科、热线服务科和办公室。</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_GB2312" w:eastAsia="楷体_GB2312"/>
          <w:color w:val="000000"/>
          <w:sz w:val="32"/>
          <w:szCs w:val="32"/>
        </w:rPr>
      </w:pPr>
      <w:r>
        <w:rPr>
          <w:rFonts w:hint="eastAsia" w:ascii="楷体_GB2312" w:eastAsia="楷体_GB2312"/>
          <w:color w:val="000000"/>
          <w:sz w:val="32"/>
          <w:szCs w:val="32"/>
        </w:rPr>
        <w:t>（三）人员编制及实有情况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北京市教育政务服务中心行政编制0人，实际0人；</w:t>
      </w:r>
      <w:r>
        <w:rPr>
          <w:rFonts w:hint="eastAsia" w:ascii="仿宋_GB2312" w:eastAsia="仿宋_GB2312"/>
          <w:color w:val="000000"/>
          <w:sz w:val="32"/>
          <w:szCs w:val="32"/>
        </w:rPr>
        <w:t>事业编制26人，实际25人。</w:t>
      </w:r>
      <w:r>
        <w:rPr>
          <w:rFonts w:hint="eastAsia" w:ascii="仿宋_GB2312" w:eastAsia="仿宋_GB2312"/>
          <w:sz w:val="32"/>
          <w:szCs w:val="32"/>
        </w:rPr>
        <w:t>离退休人员15人，其中：离休0人，退休15人。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olor w:val="1F3864"/>
          <w:sz w:val="24"/>
        </w:rPr>
      </w:pPr>
      <w:r>
        <w:rPr>
          <w:rFonts w:hint="eastAsia" w:ascii="黑体" w:eastAsia="黑体"/>
          <w:color w:val="000000"/>
          <w:sz w:val="32"/>
          <w:szCs w:val="32"/>
        </w:rPr>
        <w:t>二、收入预算情况说明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2024年度收入预算1264.69万元，比2023年年初预算数1094.42万元增加170.27万元，增长15.56%。主要原因是根据事业发展需要</w:t>
      </w:r>
      <w:r>
        <w:rPr>
          <w:rFonts w:hint="eastAsia" w:ascii="仿宋_GB2312" w:eastAsia="仿宋_GB2312"/>
          <w:sz w:val="32"/>
          <w:szCs w:val="32"/>
          <w:lang w:eastAsia="zh-CN"/>
        </w:rPr>
        <w:t>增加</w:t>
      </w:r>
      <w:r>
        <w:rPr>
          <w:rFonts w:hint="eastAsia" w:ascii="仿宋_GB2312" w:eastAsia="仿宋_GB2312"/>
          <w:sz w:val="32"/>
          <w:szCs w:val="32"/>
        </w:rPr>
        <w:t>预算安排。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_GB2312" w:eastAsia="楷体_GB2312"/>
          <w:sz w:val="32"/>
          <w:szCs w:val="32"/>
        </w:rPr>
      </w:pPr>
      <w:r>
        <w:rPr>
          <w:rFonts w:hint="eastAsia" w:ascii="楷体_GB2312" w:eastAsia="楷体_GB2312"/>
          <w:sz w:val="32"/>
          <w:szCs w:val="32"/>
        </w:rPr>
        <w:t>（一）本年财政拨款收入1264.59万元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1.一般公共预算拨款收入1264.59万元。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2.政府性基金预算拨款收入0万元。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3.国有资本经营预算拨款收入0万元。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_GB2312" w:eastAsia="楷体_GB2312"/>
          <w:sz w:val="32"/>
          <w:szCs w:val="32"/>
        </w:rPr>
      </w:pPr>
      <w:r>
        <w:rPr>
          <w:rFonts w:hint="eastAsia" w:ascii="楷体_GB2312" w:eastAsia="楷体_GB2312"/>
          <w:sz w:val="32"/>
          <w:szCs w:val="32"/>
        </w:rPr>
        <w:t>（二）本年其他资金收入0.10万元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4.财政专户管理资金收入0万元。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5.事业收入0万元。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6.上级补助收入0万元。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7.附属单位上缴收入0万元。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8.事业单位经营收入0万元。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9.其他收入0.10万元。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_GB2312" w:eastAsia="楷体_GB2312"/>
          <w:sz w:val="32"/>
          <w:szCs w:val="32"/>
        </w:rPr>
      </w:pPr>
      <w:r>
        <w:rPr>
          <w:rFonts w:hint="eastAsia" w:ascii="楷体_GB2312" w:eastAsia="楷体_GB2312"/>
          <w:sz w:val="32"/>
          <w:szCs w:val="32"/>
        </w:rPr>
        <w:t>（三）上年结转结余0万元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10.上年结转结余0万元。</w:t>
      </w:r>
    </w:p>
    <w:p>
      <w:pPr>
        <w:pStyle w:val="2"/>
        <w:jc w:val="center"/>
      </w:pPr>
      <w:r>
        <w:rPr>
          <w:bdr w:val="single" w:color="BFBFBF" w:sz="4" w:space="0"/>
        </w:rPr>
        <w:object>
          <v:shape id="_x0000_i1025" o:spt="75" type="#_x0000_t75" style="height:166.9pt;width:362.35pt;" o:ole="t" filled="f" o:preferrelative="t" stroked="f" coordsize="21600,21600">
            <v:path/>
            <v:fill on="f" focussize="0,0"/>
            <v:stroke on="f" joinstyle="miter"/>
            <v:imagedata r:id="rId6" o:title=""/>
            <o:lock v:ext="edit" aspectratio="t"/>
            <w10:wrap type="none"/>
            <w10:anchorlock/>
          </v:shape>
          <o:OLEObject Type="Embed" ProgID="MSGraph.Chart.8" ShapeID="_x0000_i1025" DrawAspect="Content" ObjectID="_1468075725" r:id="rId5">
            <o:LockedField>false</o:LockedField>
          </o:OLEObject>
        </w:object>
      </w:r>
    </w:p>
    <w:p>
      <w:pPr>
        <w:pStyle w:val="2"/>
        <w:jc w:val="center"/>
        <w:rPr>
          <w:rFonts w:ascii="仿宋_GB2312" w:eastAsia="仿宋_GB2312"/>
          <w:b w:val="0"/>
          <w:bCs w:val="0"/>
          <w:sz w:val="32"/>
        </w:rPr>
      </w:pPr>
      <w:r>
        <w:rPr>
          <w:rFonts w:hint="eastAsia" w:ascii="仿宋_GB2312" w:eastAsia="仿宋_GB2312"/>
          <w:sz w:val="32"/>
        </w:rPr>
        <w:t>图1：收入预算</w:t>
      </w:r>
    </w:p>
    <w:p>
      <w:pPr>
        <w:spacing w:line="560" w:lineRule="exact"/>
        <w:ind w:firstLine="640" w:firstLineChars="200"/>
        <w:rPr>
          <w:rFonts w:ascii="仿宋_GB2312" w:eastAsia="仿宋_GB2312"/>
          <w:color w:val="1F3864"/>
          <w:sz w:val="24"/>
        </w:rPr>
      </w:pPr>
      <w:r>
        <w:rPr>
          <w:rFonts w:hint="eastAsia" w:ascii="黑体" w:eastAsia="黑体"/>
          <w:sz w:val="32"/>
          <w:szCs w:val="32"/>
        </w:rPr>
        <w:t>三、支出预算情况说明</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2024年支出预算1264.69万元，比2023年年初预算数1094.42万元增加170.27万元，增长15.56%。主要原因是根据事业发展需要</w:t>
      </w:r>
      <w:r>
        <w:rPr>
          <w:rFonts w:hint="eastAsia" w:ascii="仿宋_GB2312" w:eastAsia="仿宋_GB2312"/>
          <w:sz w:val="32"/>
          <w:szCs w:val="32"/>
          <w:lang w:eastAsia="zh-CN"/>
        </w:rPr>
        <w:t>增加</w:t>
      </w:r>
      <w:bookmarkStart w:id="0" w:name="_GoBack"/>
      <w:bookmarkEnd w:id="0"/>
      <w:r>
        <w:rPr>
          <w:rFonts w:hint="eastAsia" w:ascii="仿宋_GB2312" w:eastAsia="仿宋_GB2312"/>
          <w:sz w:val="32"/>
          <w:szCs w:val="32"/>
        </w:rPr>
        <w:t>预算安排。</w:t>
      </w:r>
    </w:p>
    <w:p>
      <w:pPr>
        <w:spacing w:line="560" w:lineRule="exact"/>
        <w:ind w:firstLine="640" w:firstLineChars="200"/>
        <w:rPr>
          <w:rFonts w:ascii="仿宋_GB2312" w:eastAsia="仿宋_GB2312"/>
          <w:sz w:val="32"/>
          <w:szCs w:val="32"/>
        </w:rPr>
      </w:pPr>
      <w:r>
        <w:rPr>
          <w:rFonts w:hint="eastAsia" w:ascii="楷体_GB2312" w:hAnsi="楷体_GB2312" w:eastAsia="楷体_GB2312" w:cs="楷体_GB2312"/>
          <w:sz w:val="32"/>
          <w:szCs w:val="32"/>
        </w:rPr>
        <w:t>（一）基本支出。</w:t>
      </w:r>
      <w:r>
        <w:rPr>
          <w:rFonts w:hint="eastAsia" w:ascii="仿宋_GB2312" w:eastAsia="仿宋_GB2312"/>
          <w:sz w:val="32"/>
          <w:szCs w:val="32"/>
        </w:rPr>
        <w:t>基本支出预算1060.64万元，占总支出预算83.87%，比2023年年初预算数935.33万元增加125.31万元，增长13.40%。</w:t>
      </w:r>
    </w:p>
    <w:p>
      <w:pPr>
        <w:spacing w:line="560" w:lineRule="exact"/>
        <w:ind w:firstLine="640"/>
        <w:rPr>
          <w:rFonts w:ascii="仿宋_GB2312" w:eastAsia="仿宋_GB2312"/>
          <w:sz w:val="32"/>
          <w:szCs w:val="32"/>
        </w:rPr>
      </w:pPr>
      <w:r>
        <w:rPr>
          <w:rFonts w:hint="eastAsia" w:ascii="楷体_GB2312" w:hAnsi="楷体_GB2312" w:eastAsia="楷体_GB2312" w:cs="楷体_GB2312"/>
          <w:sz w:val="32"/>
          <w:szCs w:val="32"/>
        </w:rPr>
        <w:t>（二）项目支出。</w:t>
      </w:r>
      <w:r>
        <w:rPr>
          <w:rFonts w:hint="eastAsia" w:ascii="仿宋_GB2312" w:eastAsia="仿宋_GB2312"/>
          <w:sz w:val="32"/>
          <w:szCs w:val="32"/>
        </w:rPr>
        <w:t>项目支出预算204.05万元，比2023年年初预算数159.09万元增加44.96万元，增长28.26%。其中：</w:t>
      </w:r>
    </w:p>
    <w:p>
      <w:pPr>
        <w:spacing w:line="560" w:lineRule="exact"/>
        <w:ind w:firstLine="640"/>
        <w:rPr>
          <w:rFonts w:ascii="仿宋_GB2312" w:eastAsia="仿宋_GB2312"/>
          <w:sz w:val="32"/>
          <w:szCs w:val="32"/>
        </w:rPr>
      </w:pPr>
      <w:r>
        <w:rPr>
          <w:rFonts w:hint="eastAsia" w:ascii="仿宋_GB2312" w:eastAsia="仿宋_GB2312"/>
          <w:sz w:val="32"/>
          <w:szCs w:val="32"/>
        </w:rPr>
        <w:t>1.事业单位经营支出0万元。</w:t>
      </w:r>
    </w:p>
    <w:p>
      <w:pPr>
        <w:spacing w:line="560" w:lineRule="exact"/>
        <w:ind w:firstLine="640"/>
        <w:rPr>
          <w:rFonts w:ascii="仿宋_GB2312" w:eastAsia="仿宋_GB2312"/>
          <w:sz w:val="32"/>
          <w:szCs w:val="32"/>
        </w:rPr>
      </w:pPr>
      <w:r>
        <w:rPr>
          <w:rFonts w:hint="eastAsia" w:ascii="仿宋_GB2312" w:eastAsia="仿宋_GB2312"/>
          <w:sz w:val="32"/>
          <w:szCs w:val="32"/>
        </w:rPr>
        <w:t>2.上缴上级支出0万元。</w:t>
      </w:r>
    </w:p>
    <w:p>
      <w:pPr>
        <w:spacing w:line="560" w:lineRule="exact"/>
        <w:ind w:firstLine="640"/>
        <w:rPr>
          <w:rFonts w:ascii="仿宋_GB2312" w:eastAsia="仿宋_GB2312"/>
          <w:sz w:val="32"/>
          <w:szCs w:val="32"/>
        </w:rPr>
      </w:pPr>
      <w:r>
        <w:rPr>
          <w:rFonts w:hint="eastAsia" w:ascii="仿宋_GB2312" w:eastAsia="仿宋_GB2312"/>
          <w:sz w:val="32"/>
          <w:szCs w:val="32"/>
        </w:rPr>
        <w:t>3.对附属单位补助支出0万元。</w:t>
      </w:r>
    </w:p>
    <w:p>
      <w:pPr>
        <w:pStyle w:val="2"/>
        <w:jc w:val="center"/>
      </w:pPr>
      <w:r>
        <w:rPr>
          <w:rFonts w:hint="eastAsia" w:eastAsiaTheme="minorEastAsia"/>
        </w:rPr>
        <w:drawing>
          <wp:inline distT="0" distB="0" distL="114300" distR="114300">
            <wp:extent cx="5044440" cy="2533015"/>
            <wp:effectExtent l="4445" t="4445" r="5715" b="15240"/>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pStyle w:val="2"/>
        <w:ind w:firstLine="642"/>
        <w:jc w:val="center"/>
      </w:pPr>
      <w:r>
        <w:rPr>
          <w:rFonts w:hint="eastAsia" w:ascii="仿宋_GB2312" w:eastAsia="仿宋_GB2312"/>
          <w:sz w:val="32"/>
        </w:rPr>
        <w:t>图2：基本支出和项目支出情况</w:t>
      </w:r>
    </w:p>
    <w:p>
      <w:pPr>
        <w:numPr>
          <w:ilvl w:val="0"/>
          <w:numId w:val="1"/>
        </w:numPr>
        <w:spacing w:line="560" w:lineRule="exact"/>
        <w:ind w:firstLine="640" w:firstLineChars="200"/>
        <w:rPr>
          <w:rFonts w:ascii="楷体_GB2312" w:hAnsi="楷体_GB2312" w:eastAsia="楷体_GB2312" w:cs="楷体_GB2312"/>
          <w:color w:val="000000"/>
          <w:sz w:val="32"/>
          <w:szCs w:val="32"/>
        </w:rPr>
      </w:pPr>
      <w:r>
        <w:rPr>
          <w:rFonts w:hint="eastAsia" w:ascii="楷体_GB2312" w:hAnsi="楷体_GB2312" w:eastAsia="楷体_GB2312" w:cs="楷体_GB2312"/>
          <w:color w:val="000000"/>
          <w:sz w:val="32"/>
          <w:szCs w:val="32"/>
        </w:rPr>
        <w:t>年终结转结余资金0万元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黑体" w:eastAsia="黑体"/>
          <w:sz w:val="32"/>
          <w:szCs w:val="32"/>
        </w:rPr>
      </w:pPr>
      <w:r>
        <w:rPr>
          <w:rFonts w:hint="eastAsia" w:ascii="黑体" w:eastAsia="黑体"/>
          <w:sz w:val="32"/>
          <w:szCs w:val="32"/>
        </w:rPr>
        <w:t>四、财政拨款“三公”经费预算情况说明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_GB2312" w:eastAsia="楷体_GB2312"/>
          <w:sz w:val="32"/>
          <w:szCs w:val="32"/>
        </w:rPr>
      </w:pPr>
      <w:r>
        <w:rPr>
          <w:rFonts w:hint="eastAsia" w:ascii="楷体_GB2312" w:eastAsia="楷体_GB2312"/>
          <w:sz w:val="32"/>
          <w:szCs w:val="32"/>
        </w:rPr>
        <w:t>（一）“三公”经费的单位范围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北京市教育政务服务中心因公出国（境）费用、公务接待费、公务用车购置和运行维护费开支单位包括1个所属单位。其他所属单位2024年无财政拨款安排的“三公”经费预算。</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_GB2312" w:eastAsia="楷体_GB2312"/>
          <w:sz w:val="32"/>
          <w:szCs w:val="32"/>
        </w:rPr>
      </w:pPr>
      <w:r>
        <w:rPr>
          <w:rFonts w:hint="eastAsia" w:ascii="楷体_GB2312" w:eastAsia="楷体_GB2312"/>
          <w:sz w:val="32"/>
          <w:szCs w:val="32"/>
        </w:rPr>
        <w:t>（二）财政拨款“三公”经费预算情况说明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2024年财政拨款“三公”经费预算2.49万元，比2023年财政拨款“三公”经费预算减少0.01万元。其中：</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1.因公出国（境）费用。2024年预算数0万元，与2023年持平。</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2.公务接待费。2024年预算数0万元，与2023年持平。</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3.公务用车购置和运行维护费。2024年预算数2.49万元，包括：公务用车购置费2024年预算数0万元，与2023年持平；公务用车运行维护费2024年预算数2.49万元，其中：公务用车燃油1.32万元，公务用车维修0.42万元，公务用车保险0.43万元，其他支出0.32万元。公务用车运行维护费2024年预算数比2023年年初预算数2.50万元减少0.01万元，主要原因：落实政府“过紧日子”要求，进一步压减一般性支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黑体" w:eastAsia="黑体"/>
          <w:sz w:val="32"/>
          <w:szCs w:val="32"/>
        </w:rPr>
      </w:pPr>
      <w:r>
        <w:rPr>
          <w:rFonts w:hint="eastAsia" w:ascii="黑体" w:eastAsia="黑体"/>
          <w:sz w:val="32"/>
          <w:szCs w:val="32"/>
        </w:rPr>
        <w:t>五、其他情况说明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_GB2312" w:eastAsia="楷体_GB2312"/>
          <w:sz w:val="32"/>
          <w:szCs w:val="32"/>
        </w:rPr>
      </w:pPr>
      <w:r>
        <w:rPr>
          <w:rFonts w:hint="eastAsia" w:ascii="楷体_GB2312" w:eastAsia="楷体_GB2312"/>
          <w:sz w:val="32"/>
          <w:szCs w:val="32"/>
        </w:rPr>
        <w:t>（一）政府采购预算说明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2024年北京市教育政务服务中心政府采购预算总额155.77万元，其中：政府采购货物预算0万元，政府采购工程预算0万元，政府采购服务预算155.77万元。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_GB2312" w:eastAsia="楷体_GB2312"/>
          <w:sz w:val="32"/>
          <w:szCs w:val="32"/>
        </w:rPr>
      </w:pPr>
      <w:r>
        <w:rPr>
          <w:rFonts w:hint="eastAsia" w:ascii="楷体_GB2312" w:eastAsia="楷体_GB2312"/>
          <w:sz w:val="32"/>
          <w:szCs w:val="32"/>
        </w:rPr>
        <w:t>（二）政府购买服务预算说明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本单位2024年无政府购买服务预算。</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_GB2312" w:eastAsia="楷体_GB2312"/>
          <w:sz w:val="32"/>
          <w:szCs w:val="32"/>
        </w:rPr>
      </w:pPr>
      <w:r>
        <w:rPr>
          <w:rFonts w:hint="eastAsia" w:ascii="楷体_GB2312" w:eastAsia="楷体_GB2312"/>
          <w:sz w:val="32"/>
          <w:szCs w:val="32"/>
        </w:rPr>
        <w:t>（三）机关运行经费说明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我单位不在机关运行经费统计范围之内。</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_GB2312" w:eastAsia="楷体_GB2312"/>
          <w:sz w:val="32"/>
          <w:szCs w:val="32"/>
        </w:rPr>
      </w:pPr>
      <w:r>
        <w:rPr>
          <w:rFonts w:hint="eastAsia" w:ascii="楷体_GB2312" w:eastAsia="楷体_GB2312"/>
          <w:sz w:val="32"/>
          <w:szCs w:val="32"/>
        </w:rPr>
        <w:t>（四）项目支出绩效目标情况说明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2024年，北京市教育政务服务中心填报绩效目标的预算项目2个，占本单位本年预算项目2个的100%。填报绩效目标的项目支出预算204.05万元，占本单位本年项目支出预算的100%。</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_GB2312" w:eastAsia="楷体_GB2312"/>
          <w:sz w:val="32"/>
          <w:szCs w:val="32"/>
        </w:rPr>
      </w:pPr>
      <w:r>
        <w:rPr>
          <w:rFonts w:hint="eastAsia" w:ascii="楷体_GB2312" w:eastAsia="楷体_GB2312"/>
          <w:sz w:val="32"/>
          <w:szCs w:val="32"/>
        </w:rPr>
        <w:t>（五）重点行政事业性收费情况说明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本单位2024年无重点行政事业性收费。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_GB2312" w:eastAsia="楷体_GB2312"/>
          <w:sz w:val="32"/>
          <w:szCs w:val="32"/>
        </w:rPr>
      </w:pPr>
      <w:r>
        <w:rPr>
          <w:rFonts w:hint="eastAsia" w:ascii="楷体_GB2312" w:eastAsia="楷体_GB2312"/>
          <w:sz w:val="32"/>
          <w:szCs w:val="32"/>
        </w:rPr>
        <w:t>（六）国有资本经营预算财政拨款情况说明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olor w:val="000000"/>
          <w:sz w:val="32"/>
          <w:szCs w:val="32"/>
        </w:rPr>
      </w:pPr>
      <w:r>
        <w:rPr>
          <w:rFonts w:hint="eastAsia" w:ascii="仿宋_GB2312" w:eastAsia="仿宋_GB2312"/>
          <w:sz w:val="32"/>
          <w:szCs w:val="32"/>
        </w:rPr>
        <w:t>本单位2024</w:t>
      </w:r>
      <w:r>
        <w:rPr>
          <w:rFonts w:hint="eastAsia" w:ascii="仿宋_GB2312" w:eastAsia="仿宋_GB2312"/>
          <w:color w:val="000000"/>
          <w:sz w:val="32"/>
          <w:szCs w:val="32"/>
        </w:rPr>
        <w:t>年无国有资本经营预算财政拨款安排的预算。</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_GB2312" w:eastAsia="楷体_GB2312"/>
          <w:color w:val="000000"/>
          <w:sz w:val="32"/>
          <w:szCs w:val="32"/>
        </w:rPr>
      </w:pPr>
      <w:r>
        <w:rPr>
          <w:rFonts w:hint="eastAsia" w:ascii="楷体_GB2312" w:eastAsia="楷体_GB2312"/>
          <w:color w:val="000000"/>
          <w:sz w:val="32"/>
          <w:szCs w:val="32"/>
        </w:rPr>
        <w:t>（七）国有资产占用情况说明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截至2023年底，北京市教育政务服务中心共有车辆1台，共计16.97万元；单位价值50万元以上的设备0台（套），共计0万元。2024年预算安排中，购置单位价值50万元以上的设备0台（套），共计0万元。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黑体" w:eastAsia="黑体"/>
          <w:color w:val="000000"/>
          <w:sz w:val="32"/>
          <w:szCs w:val="32"/>
        </w:rPr>
      </w:pPr>
      <w:r>
        <w:rPr>
          <w:rFonts w:hint="eastAsia" w:ascii="黑体" w:eastAsia="黑体"/>
          <w:color w:val="000000"/>
          <w:sz w:val="32"/>
          <w:szCs w:val="32"/>
        </w:rPr>
        <w:t>六、名词解释</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基本支出：指为保障机构正常运转、完成日常工作任务而发生的人员支出和公用支出。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项目支出：指在基本支出之外为完成特定行政任务或事业发展目标所发生的支出。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“三公”经费财政拨款预算数：指本单位当年单位预算安排的因公出国（境）费用、公务接待费、公务用车购置和运行维护费预算数。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政府采购：各级国家机关、事业单位和团体组织，使用财政性资金采购依法制定的集中采购目录以内的或者采购限额标准以上的货物、工程和服务的行为，是规范财政支出管理和强化预算约束的有效措施。</w:t>
      </w:r>
    </w:p>
    <w:p>
      <w:pPr>
        <w:spacing w:line="560" w:lineRule="exact"/>
        <w:jc w:val="center"/>
        <w:rPr>
          <w:rFonts w:ascii="方正小标宋简体" w:eastAsia="方正小标宋简体"/>
          <w:color w:val="000000"/>
          <w:sz w:val="36"/>
          <w:szCs w:val="36"/>
        </w:rPr>
      </w:pPr>
      <w:r>
        <w:rPr>
          <w:rFonts w:ascii="方正小标宋简体" w:eastAsia="方正小标宋简体"/>
          <w:color w:val="000000"/>
          <w:sz w:val="36"/>
          <w:szCs w:val="36"/>
        </w:rPr>
        <w:br w:type="page"/>
      </w:r>
      <w:r>
        <w:rPr>
          <w:rFonts w:hint="eastAsia" w:ascii="方正小标宋简体" w:eastAsia="方正小标宋简体"/>
          <w:color w:val="000000"/>
          <w:sz w:val="36"/>
          <w:szCs w:val="36"/>
        </w:rPr>
        <w:t>第二部分  2024年度单位预算报表</w:t>
      </w:r>
    </w:p>
    <w:p>
      <w:pPr>
        <w:autoSpaceDE w:val="0"/>
        <w:autoSpaceDN w:val="0"/>
        <w:adjustRightInd w:val="0"/>
        <w:spacing w:line="560" w:lineRule="exact"/>
        <w:jc w:val="left"/>
        <w:rPr>
          <w:rFonts w:ascii="方正小标宋简体" w:eastAsia="方正小标宋简体"/>
          <w:color w:val="000000"/>
          <w:sz w:val="36"/>
          <w:szCs w:val="36"/>
        </w:rPr>
      </w:pPr>
    </w:p>
    <w:p>
      <w:pPr>
        <w:spacing w:line="560" w:lineRule="exact"/>
        <w:ind w:firstLine="640" w:firstLineChars="200"/>
        <w:rPr>
          <w:rFonts w:ascii="仿宋_GB2312" w:eastAsia="仿宋_GB2312" w:cs="宋体"/>
          <w:color w:val="000000"/>
          <w:kern w:val="0"/>
          <w:sz w:val="32"/>
          <w:szCs w:val="32"/>
          <w:lang w:val="zh-CN"/>
        </w:rPr>
      </w:pPr>
      <w:r>
        <w:rPr>
          <w:rFonts w:hint="eastAsia" w:ascii="仿宋_GB2312" w:eastAsia="仿宋_GB2312"/>
          <w:color w:val="000000"/>
          <w:sz w:val="32"/>
          <w:szCs w:val="32"/>
        </w:rPr>
        <w:t>附件：北京市教育政务服务中心2024年度单位预算报表</w:t>
      </w:r>
      <w:r>
        <w:rPr>
          <w:rFonts w:hint="eastAsia" w:ascii="仿宋_GB2312" w:eastAsia="仿宋_GB2312" w:cs="宋体"/>
          <w:color w:val="000000"/>
          <w:kern w:val="0"/>
          <w:sz w:val="32"/>
          <w:szCs w:val="32"/>
          <w:lang w:val="zh-CN"/>
        </w:rPr>
        <w:t xml:space="preserve"> </w:t>
      </w:r>
    </w:p>
    <w:sectPr>
      <w:footerReference r:id="rId3" w:type="default"/>
      <w:pgSz w:w="11906" w:h="16838"/>
      <w:pgMar w:top="1440" w:right="1800" w:bottom="1440" w:left="1800"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panose1 w:val="020F0502020204030204"/>
    <w:charset w:val="00"/>
    <w:family w:val="swiss"/>
    <w:pitch w:val="default"/>
    <w:sig w:usb0="E4002EFF" w:usb1="C000247B" w:usb2="00000009" w:usb3="00000000" w:csb0="200001FF" w:csb1="00000000"/>
  </w:font>
  <w:font w:name="Droid Sans">
    <w:altName w:val="等线"/>
    <w:panose1 w:val="00000000000000000000"/>
    <w:charset w:val="00"/>
    <w:family w:val="auto"/>
    <w:pitch w:val="default"/>
    <w:sig w:usb0="00000000" w:usb1="00000000" w:usb2="00000000" w:usb3="00000000" w:csb0="00040001" w:csb1="00000000"/>
  </w:font>
  <w:font w:name="Cambria">
    <w:panose1 w:val="02040803050406030204"/>
    <w:charset w:val="00"/>
    <w:family w:val="roman"/>
    <w:pitch w:val="default"/>
    <w:sig w:usb0="E00006FF" w:usb1="4000045F" w:usb2="00000000"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方正小标宋简体">
    <w:panose1 w:val="02000000000000000000"/>
    <w:charset w:val="86"/>
    <w:family w:val="script"/>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p>
                          <w:pPr>
                            <w:pStyle w:val="5"/>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1 -</w:t>
                          </w:r>
                          <w:r>
                            <w:rPr>
                              <w:rFonts w:ascii="宋体" w:hAnsi="宋体"/>
                              <w:sz w:val="28"/>
                              <w:szCs w:val="28"/>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WAAAAZHJzL1BLAQIUABQAAAAIAIdO&#10;4kDOqXm5zwAAAAUBAAAPAAAAAAAAAAEAIAAAADgAAABkcnMvZG93bnJldi54bWxQSwECFAAUAAAA&#10;CACHTuJAVDuIW6gBAABCAwAADgAAAAAAAAABACAAAAA0AQAAZHJzL2Uyb0RvYy54bWxQSwUGAAAA&#10;AAYABgBZAQAATgUAAAAA&#10;">
              <v:fill on="f" focussize="0,0"/>
              <v:stroke on="f"/>
              <v:imagedata o:title=""/>
              <o:lock v:ext="edit" aspectratio="f"/>
              <v:textbox inset="0mm,0mm,0mm,0mm" style="mso-fit-shape-to-text:t;">
                <w:txbxContent>
                  <w:p>
                    <w:pPr>
                      <w:pStyle w:val="5"/>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1 -</w:t>
                    </w:r>
                    <w:r>
                      <w:rPr>
                        <w:rFonts w:ascii="宋体" w:hAnsi="宋体"/>
                        <w:sz w:val="28"/>
                        <w:szCs w:val="28"/>
                      </w:rPr>
                      <w:fldChar w:fldCharType="end"/>
                    </w:r>
                  </w:p>
                </w:txbxContent>
              </v:textbox>
            </v:shape>
          </w:pict>
        </mc:Fallback>
      </mc:AlternateContent>
    </w:r>
  </w:p>
  <w:p>
    <w:pPr>
      <w:pStyle w:val="5"/>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2E9D19"/>
    <w:multiLevelType w:val="singleLevel"/>
    <w:tmpl w:val="FF2E9D19"/>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true"/>
  <w:embedTrueTypeFonts/>
  <w:saveSubsetFonts/>
  <w:bordersDoNotSurroundHeader w:val="true"/>
  <w:bordersDoNotSurroundFooter w:val="tru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xN2YyYjcyOTgxOTNjZWFiMmFlNzE5NWNhZGJiNzgifQ=="/>
  </w:docVars>
  <w:rsids>
    <w:rsidRoot w:val="00797F79"/>
    <w:rsid w:val="000B36F0"/>
    <w:rsid w:val="00127BF8"/>
    <w:rsid w:val="001831DC"/>
    <w:rsid w:val="001E0067"/>
    <w:rsid w:val="00217752"/>
    <w:rsid w:val="00220C31"/>
    <w:rsid w:val="002636FF"/>
    <w:rsid w:val="0028537B"/>
    <w:rsid w:val="002B76B8"/>
    <w:rsid w:val="003058C9"/>
    <w:rsid w:val="0032325C"/>
    <w:rsid w:val="00375C58"/>
    <w:rsid w:val="0042357E"/>
    <w:rsid w:val="004833E3"/>
    <w:rsid w:val="004A4AD1"/>
    <w:rsid w:val="00594FF6"/>
    <w:rsid w:val="005B01CE"/>
    <w:rsid w:val="00661B2B"/>
    <w:rsid w:val="006D5291"/>
    <w:rsid w:val="006F3CD8"/>
    <w:rsid w:val="00722DF2"/>
    <w:rsid w:val="00755A2F"/>
    <w:rsid w:val="007779AB"/>
    <w:rsid w:val="007975C3"/>
    <w:rsid w:val="00797F79"/>
    <w:rsid w:val="008648A9"/>
    <w:rsid w:val="008A2E8D"/>
    <w:rsid w:val="008B2046"/>
    <w:rsid w:val="00954CD6"/>
    <w:rsid w:val="00973574"/>
    <w:rsid w:val="009F505C"/>
    <w:rsid w:val="009F6ECC"/>
    <w:rsid w:val="00A066EB"/>
    <w:rsid w:val="00A23ACE"/>
    <w:rsid w:val="00A3363B"/>
    <w:rsid w:val="00A77267"/>
    <w:rsid w:val="00B042E3"/>
    <w:rsid w:val="00B05CD1"/>
    <w:rsid w:val="00BD561A"/>
    <w:rsid w:val="00C51721"/>
    <w:rsid w:val="00D013B8"/>
    <w:rsid w:val="00D7459F"/>
    <w:rsid w:val="00E116DA"/>
    <w:rsid w:val="00E51413"/>
    <w:rsid w:val="00E82E72"/>
    <w:rsid w:val="00E920AC"/>
    <w:rsid w:val="00EE1041"/>
    <w:rsid w:val="00EE22D0"/>
    <w:rsid w:val="00F212FB"/>
    <w:rsid w:val="00FA25D1"/>
    <w:rsid w:val="00FB7AA0"/>
    <w:rsid w:val="01DE318D"/>
    <w:rsid w:val="0B2C7674"/>
    <w:rsid w:val="0EFFF08B"/>
    <w:rsid w:val="1556FFE7"/>
    <w:rsid w:val="18E17362"/>
    <w:rsid w:val="1B270079"/>
    <w:rsid w:val="1E2F585A"/>
    <w:rsid w:val="1FB9016F"/>
    <w:rsid w:val="1FE6D21C"/>
    <w:rsid w:val="23735A5C"/>
    <w:rsid w:val="25825026"/>
    <w:rsid w:val="2F7EA178"/>
    <w:rsid w:val="2FF31CCC"/>
    <w:rsid w:val="33BF5DDC"/>
    <w:rsid w:val="37BFBFEE"/>
    <w:rsid w:val="37FD2E23"/>
    <w:rsid w:val="37FF18B9"/>
    <w:rsid w:val="3AEE7FDD"/>
    <w:rsid w:val="3B1D5808"/>
    <w:rsid w:val="3BFE8EC0"/>
    <w:rsid w:val="3D3B750B"/>
    <w:rsid w:val="3DFB85D7"/>
    <w:rsid w:val="3DFFFEEB"/>
    <w:rsid w:val="3E578A4D"/>
    <w:rsid w:val="3E7746F2"/>
    <w:rsid w:val="3EAFE38B"/>
    <w:rsid w:val="3EFB023F"/>
    <w:rsid w:val="3F5B7215"/>
    <w:rsid w:val="3F6FC1FB"/>
    <w:rsid w:val="3F730350"/>
    <w:rsid w:val="3F76647A"/>
    <w:rsid w:val="3FBA30DB"/>
    <w:rsid w:val="3FBFE16E"/>
    <w:rsid w:val="3FF7F9C0"/>
    <w:rsid w:val="3FFBC816"/>
    <w:rsid w:val="48D44964"/>
    <w:rsid w:val="4CD68066"/>
    <w:rsid w:val="4E67CE40"/>
    <w:rsid w:val="4F6D150F"/>
    <w:rsid w:val="4FEE37C7"/>
    <w:rsid w:val="517E78AA"/>
    <w:rsid w:val="53DF3E7F"/>
    <w:rsid w:val="545DF6FA"/>
    <w:rsid w:val="55DE48F6"/>
    <w:rsid w:val="57504CDE"/>
    <w:rsid w:val="57ADBE82"/>
    <w:rsid w:val="57E332DD"/>
    <w:rsid w:val="57E9CD93"/>
    <w:rsid w:val="57EB425A"/>
    <w:rsid w:val="596AEB91"/>
    <w:rsid w:val="59D7A30C"/>
    <w:rsid w:val="5BEE7D82"/>
    <w:rsid w:val="5BFC36A8"/>
    <w:rsid w:val="5F5F35ED"/>
    <w:rsid w:val="5FB4B9F0"/>
    <w:rsid w:val="5FD532B6"/>
    <w:rsid w:val="5FD56614"/>
    <w:rsid w:val="5FE95128"/>
    <w:rsid w:val="5FFFD6B5"/>
    <w:rsid w:val="67BF653D"/>
    <w:rsid w:val="67FBD21B"/>
    <w:rsid w:val="69CDDFC6"/>
    <w:rsid w:val="6AFBD4E9"/>
    <w:rsid w:val="6BFE087F"/>
    <w:rsid w:val="6BFF83C2"/>
    <w:rsid w:val="6C5F4E7D"/>
    <w:rsid w:val="6D3F2E98"/>
    <w:rsid w:val="6DFE07CC"/>
    <w:rsid w:val="6DFFB2B9"/>
    <w:rsid w:val="6ECB6C3E"/>
    <w:rsid w:val="6F3A9571"/>
    <w:rsid w:val="6FCDA027"/>
    <w:rsid w:val="6FDC8289"/>
    <w:rsid w:val="71FF8133"/>
    <w:rsid w:val="729DB731"/>
    <w:rsid w:val="732F9AB6"/>
    <w:rsid w:val="73A5D6F8"/>
    <w:rsid w:val="74FD455A"/>
    <w:rsid w:val="75D907AF"/>
    <w:rsid w:val="763ED7FC"/>
    <w:rsid w:val="767FBCC8"/>
    <w:rsid w:val="76FE24ED"/>
    <w:rsid w:val="77773C62"/>
    <w:rsid w:val="777F4630"/>
    <w:rsid w:val="77DF7EB6"/>
    <w:rsid w:val="77FABEEF"/>
    <w:rsid w:val="78F52093"/>
    <w:rsid w:val="797F48DA"/>
    <w:rsid w:val="79CFCA19"/>
    <w:rsid w:val="7AEC944A"/>
    <w:rsid w:val="7B2E7344"/>
    <w:rsid w:val="7B503CA9"/>
    <w:rsid w:val="7B5B4466"/>
    <w:rsid w:val="7B8DB0E0"/>
    <w:rsid w:val="7BD7C5D4"/>
    <w:rsid w:val="7BDE2E6D"/>
    <w:rsid w:val="7BFAEA32"/>
    <w:rsid w:val="7C9BB5BA"/>
    <w:rsid w:val="7D3BD9B4"/>
    <w:rsid w:val="7D629DCE"/>
    <w:rsid w:val="7D7E1C9B"/>
    <w:rsid w:val="7DAF9F6F"/>
    <w:rsid w:val="7DDF7761"/>
    <w:rsid w:val="7DF72F40"/>
    <w:rsid w:val="7DFBA975"/>
    <w:rsid w:val="7E7F7957"/>
    <w:rsid w:val="7EBE6155"/>
    <w:rsid w:val="7F3BE6B0"/>
    <w:rsid w:val="7F3F94D5"/>
    <w:rsid w:val="7F3FC408"/>
    <w:rsid w:val="7F3FF262"/>
    <w:rsid w:val="7F7AD461"/>
    <w:rsid w:val="7F9BB94C"/>
    <w:rsid w:val="7FB5D6F6"/>
    <w:rsid w:val="7FCD88E5"/>
    <w:rsid w:val="7FE2A0EF"/>
    <w:rsid w:val="7FF59EC3"/>
    <w:rsid w:val="7FF9E7AB"/>
    <w:rsid w:val="7FFA4ACA"/>
    <w:rsid w:val="7FFFFE22"/>
    <w:rsid w:val="97EF9245"/>
    <w:rsid w:val="9B6FD390"/>
    <w:rsid w:val="9BFF5F19"/>
    <w:rsid w:val="9FEBAB83"/>
    <w:rsid w:val="9FF55FF2"/>
    <w:rsid w:val="9FFDCF93"/>
    <w:rsid w:val="ADDB0121"/>
    <w:rsid w:val="AF738C62"/>
    <w:rsid w:val="AF77E555"/>
    <w:rsid w:val="AFFE8D53"/>
    <w:rsid w:val="AFFEB70B"/>
    <w:rsid w:val="AFFFF77B"/>
    <w:rsid w:val="B39883F1"/>
    <w:rsid w:val="B3FEB972"/>
    <w:rsid w:val="B5DAA59F"/>
    <w:rsid w:val="B6E956E9"/>
    <w:rsid w:val="B6FFE3F9"/>
    <w:rsid w:val="B77D36FD"/>
    <w:rsid w:val="B7CC2D3F"/>
    <w:rsid w:val="B9C511BB"/>
    <w:rsid w:val="B9E3AE77"/>
    <w:rsid w:val="B9FF9DD8"/>
    <w:rsid w:val="BA8DB816"/>
    <w:rsid w:val="BB7F4D3C"/>
    <w:rsid w:val="BBAFC879"/>
    <w:rsid w:val="BBFDC091"/>
    <w:rsid w:val="BC3FB194"/>
    <w:rsid w:val="BC93032D"/>
    <w:rsid w:val="BCDC4AFD"/>
    <w:rsid w:val="BDFF4B09"/>
    <w:rsid w:val="BEEF0D30"/>
    <w:rsid w:val="BEFF6650"/>
    <w:rsid w:val="BF7B23E6"/>
    <w:rsid w:val="BFBFE194"/>
    <w:rsid w:val="BFCFAEF2"/>
    <w:rsid w:val="BFDD01AC"/>
    <w:rsid w:val="BFEF3728"/>
    <w:rsid w:val="BFEF4CA0"/>
    <w:rsid w:val="BFFB7EB6"/>
    <w:rsid w:val="BFFEAB08"/>
    <w:rsid w:val="C2FFBE2F"/>
    <w:rsid w:val="CBBEBAC1"/>
    <w:rsid w:val="CDED7A5A"/>
    <w:rsid w:val="CDFD2304"/>
    <w:rsid w:val="CEFE275B"/>
    <w:rsid w:val="CF0B42D0"/>
    <w:rsid w:val="CF9E952C"/>
    <w:rsid w:val="D2EF087E"/>
    <w:rsid w:val="D3F5DBB9"/>
    <w:rsid w:val="D47DE06C"/>
    <w:rsid w:val="D6FB18F9"/>
    <w:rsid w:val="DA9ADC14"/>
    <w:rsid w:val="DC776690"/>
    <w:rsid w:val="DC7B698E"/>
    <w:rsid w:val="DCBE10CA"/>
    <w:rsid w:val="DDBB17FD"/>
    <w:rsid w:val="DDCB6A4D"/>
    <w:rsid w:val="DEE7D467"/>
    <w:rsid w:val="DEFB073E"/>
    <w:rsid w:val="DEFE8523"/>
    <w:rsid w:val="DF5F95EA"/>
    <w:rsid w:val="DF97CC56"/>
    <w:rsid w:val="DF9E774E"/>
    <w:rsid w:val="E6C74982"/>
    <w:rsid w:val="E732351F"/>
    <w:rsid w:val="E7D3D047"/>
    <w:rsid w:val="E8FF6CA0"/>
    <w:rsid w:val="EB6F6027"/>
    <w:rsid w:val="EBBD09D3"/>
    <w:rsid w:val="ECBFB19E"/>
    <w:rsid w:val="EF3D4EF9"/>
    <w:rsid w:val="EF7778AA"/>
    <w:rsid w:val="EFDB4341"/>
    <w:rsid w:val="EFDB7C9A"/>
    <w:rsid w:val="EFE93D0B"/>
    <w:rsid w:val="EFEF30CE"/>
    <w:rsid w:val="EFFD6B90"/>
    <w:rsid w:val="EFFF9813"/>
    <w:rsid w:val="F279611C"/>
    <w:rsid w:val="F3F77884"/>
    <w:rsid w:val="F54BAC81"/>
    <w:rsid w:val="F57F86CD"/>
    <w:rsid w:val="F5FFC647"/>
    <w:rsid w:val="F6BB828E"/>
    <w:rsid w:val="F73FF6F5"/>
    <w:rsid w:val="F74FC207"/>
    <w:rsid w:val="F7BB185C"/>
    <w:rsid w:val="F7EBD5AB"/>
    <w:rsid w:val="F7EF626F"/>
    <w:rsid w:val="F7F6721E"/>
    <w:rsid w:val="F7F675EC"/>
    <w:rsid w:val="F85919AA"/>
    <w:rsid w:val="F8FB073F"/>
    <w:rsid w:val="F9FEFD56"/>
    <w:rsid w:val="F9FF9E6D"/>
    <w:rsid w:val="FB753B34"/>
    <w:rsid w:val="FB8BF0E3"/>
    <w:rsid w:val="FBA5D970"/>
    <w:rsid w:val="FBCBCAF3"/>
    <w:rsid w:val="FBDAEB55"/>
    <w:rsid w:val="FBFCB7DB"/>
    <w:rsid w:val="FBFF8EB0"/>
    <w:rsid w:val="FBFFC487"/>
    <w:rsid w:val="FCFFB466"/>
    <w:rsid w:val="FD3EBDE3"/>
    <w:rsid w:val="FD77AC96"/>
    <w:rsid w:val="FD7B8383"/>
    <w:rsid w:val="FDBF964B"/>
    <w:rsid w:val="FDF746E5"/>
    <w:rsid w:val="FDF9C66B"/>
    <w:rsid w:val="FDFBB3BF"/>
    <w:rsid w:val="FEDFAC7C"/>
    <w:rsid w:val="FF37C4AF"/>
    <w:rsid w:val="FF3B22F4"/>
    <w:rsid w:val="FF6924AB"/>
    <w:rsid w:val="FF7EBEF1"/>
    <w:rsid w:val="FFAE5527"/>
    <w:rsid w:val="FFD77F58"/>
    <w:rsid w:val="FFDA8D4D"/>
    <w:rsid w:val="FFDF0294"/>
    <w:rsid w:val="FFE76197"/>
    <w:rsid w:val="FFEDE558"/>
    <w:rsid w:val="FFEFCFF3"/>
    <w:rsid w:val="FFF20AD4"/>
    <w:rsid w:val="FFF6E6ED"/>
    <w:rsid w:val="FFF70B16"/>
    <w:rsid w:val="FFFAE4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Droid Sans" w:hAnsi="Droid Sans" w:eastAsia="宋体" w:cs="Droid Sans"/>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Droid Sans"/>
      <w:kern w:val="2"/>
      <w:sz w:val="21"/>
      <w:szCs w:val="24"/>
      <w:lang w:val="en-US" w:eastAsia="zh-CN" w:bidi="ar-SA"/>
    </w:rPr>
  </w:style>
  <w:style w:type="paragraph" w:styleId="2">
    <w:name w:val="heading 2"/>
    <w:basedOn w:val="1"/>
    <w:next w:val="1"/>
    <w:qFormat/>
    <w:uiPriority w:val="0"/>
    <w:pPr>
      <w:keepNext/>
      <w:keepLines/>
      <w:spacing w:before="100" w:beforeAutospacing="1" w:after="100" w:afterAutospacing="1"/>
      <w:outlineLvl w:val="1"/>
    </w:pPr>
    <w:rPr>
      <w:rFonts w:ascii="Cambria" w:hAnsi="Cambria" w:eastAsia="黑体" w:cs="Times New Roman"/>
      <w:b/>
      <w:bCs/>
      <w:kern w:val="0"/>
      <w:sz w:val="36"/>
      <w:szCs w:val="32"/>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Date"/>
    <w:basedOn w:val="1"/>
    <w:next w:val="1"/>
    <w:qFormat/>
    <w:uiPriority w:val="0"/>
    <w:rPr>
      <w:rFonts w:eastAsia="楷体_GB2312"/>
      <w:sz w:val="32"/>
      <w:szCs w:val="20"/>
    </w:rPr>
  </w:style>
  <w:style w:type="paragraph" w:styleId="4">
    <w:name w:val="Balloon Text"/>
    <w:basedOn w:val="1"/>
    <w:link w:val="10"/>
    <w:qFormat/>
    <w:uiPriority w:val="0"/>
    <w:rPr>
      <w:rFonts w:cs="Times New Roman"/>
      <w:sz w:val="18"/>
      <w:szCs w:val="18"/>
    </w:rPr>
  </w:style>
  <w:style w:type="paragraph" w:styleId="5">
    <w:name w:val="footer"/>
    <w:basedOn w:val="1"/>
    <w:link w:val="11"/>
    <w:qFormat/>
    <w:uiPriority w:val="99"/>
    <w:pPr>
      <w:tabs>
        <w:tab w:val="center" w:pos="4153"/>
        <w:tab w:val="right" w:pos="8306"/>
      </w:tabs>
      <w:snapToGrid w:val="0"/>
      <w:jc w:val="left"/>
    </w:pPr>
    <w:rPr>
      <w:rFonts w:cs="Times New Roman"/>
      <w:sz w:val="18"/>
      <w:szCs w:val="20"/>
    </w:rPr>
  </w:style>
  <w:style w:type="paragraph" w:styleId="6">
    <w:name w:val="header"/>
    <w:basedOn w:val="1"/>
    <w:link w:val="12"/>
    <w:qFormat/>
    <w:uiPriority w:val="0"/>
    <w:pPr>
      <w:pBdr>
        <w:bottom w:val="single" w:color="auto" w:sz="6" w:space="1"/>
      </w:pBdr>
      <w:tabs>
        <w:tab w:val="center" w:pos="4153"/>
        <w:tab w:val="right" w:pos="8306"/>
      </w:tabs>
      <w:snapToGrid w:val="0"/>
      <w:jc w:val="center"/>
    </w:pPr>
    <w:rPr>
      <w:rFonts w:cs="Times New Roman"/>
      <w:sz w:val="18"/>
      <w:szCs w:val="18"/>
    </w:rPr>
  </w:style>
  <w:style w:type="character" w:styleId="9">
    <w:name w:val="page number"/>
    <w:qFormat/>
    <w:uiPriority w:val="0"/>
  </w:style>
  <w:style w:type="character" w:customStyle="1" w:styleId="10">
    <w:name w:val="批注框文本 字符"/>
    <w:link w:val="4"/>
    <w:qFormat/>
    <w:uiPriority w:val="0"/>
    <w:rPr>
      <w:rFonts w:ascii="Times New Roman" w:hAnsi="Times New Roman"/>
      <w:kern w:val="2"/>
      <w:sz w:val="18"/>
      <w:szCs w:val="18"/>
    </w:rPr>
  </w:style>
  <w:style w:type="character" w:customStyle="1" w:styleId="11">
    <w:name w:val="页脚 字符"/>
    <w:link w:val="5"/>
    <w:qFormat/>
    <w:uiPriority w:val="99"/>
    <w:rPr>
      <w:rFonts w:ascii="Times New Roman" w:hAnsi="Times New Roman"/>
      <w:kern w:val="2"/>
      <w:sz w:val="18"/>
    </w:rPr>
  </w:style>
  <w:style w:type="character" w:customStyle="1" w:styleId="12">
    <w:name w:val="页眉 字符"/>
    <w:link w:val="6"/>
    <w:qFormat/>
    <w:uiPriority w:val="0"/>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chart" Target="charts/chart1.xml"/><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chart1.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pieChart>
        <c:varyColors val="true"/>
        <c:ser>
          <c:idx val="0"/>
          <c:order val="0"/>
          <c:tx>
            <c:strRef>
              <c:f>Sheet1!$B$1</c:f>
              <c:strCache>
                <c:ptCount val="1"/>
                <c:pt idx="0">
                  <c:v>销售额</c:v>
                </c:pt>
              </c:strCache>
            </c:strRef>
          </c:tx>
          <c:spPr/>
          <c:explosion val="0"/>
          <c:dPt>
            <c:idx val="0"/>
            <c:bubble3D val="false"/>
            <c:spPr>
              <a:solidFill>
                <a:schemeClr val="accent1"/>
              </a:solidFill>
              <a:ln>
                <a:solidFill>
                  <a:schemeClr val="bg1"/>
                </a:solidFill>
              </a:ln>
              <a:effectLst/>
            </c:spPr>
          </c:dPt>
          <c:dPt>
            <c:idx val="1"/>
            <c:bubble3D val="false"/>
            <c:spPr>
              <a:solidFill>
                <a:schemeClr val="accent2"/>
              </a:solidFill>
              <a:ln>
                <a:solidFill>
                  <a:schemeClr val="bg1"/>
                </a:solidFill>
              </a:ln>
              <a:effectLst/>
            </c:spPr>
          </c:dPt>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ctr"/>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0.00%</c:formatCode>
                <c:ptCount val="2"/>
                <c:pt idx="0">
                  <c:v>0.8387</c:v>
                </c:pt>
                <c:pt idx="1">
                  <c:v>0.1613</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WwW.YlmF.CoM</Company>
  <Pages>9</Pages>
  <Words>377</Words>
  <Characters>2152</Characters>
  <Lines>17</Lines>
  <Paragraphs>5</Paragraphs>
  <TotalTime>24</TotalTime>
  <ScaleCrop>false</ScaleCrop>
  <LinksUpToDate>false</LinksUpToDate>
  <CharactersWithSpaces>2524</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2024-03-04T15:49:00Z</dcterms:created>
  <dc:creator>马荣丽</dc:creator>
  <cp:lastModifiedBy>uos</cp:lastModifiedBy>
  <cp:lastPrinted>2024-03-04T16:19:00Z</cp:lastPrinted>
  <dcterms:modified xsi:type="dcterms:W3CDTF">2024-03-11T15:25:37Z</dcterms:modified>
  <dc:title>处领导：</dc:title>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2BA518904F614723A58F37C84D4CC2C0_13</vt:lpwstr>
  </property>
</Properties>
</file>