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exact"/>
        <w:rPr>
          <w:rFonts w:ascii="仿宋_GB2312" w:hAnsi="Times New Roman" w:eastAsia="仿宋_GB2312" w:cs="Droid Sans"/>
          <w:b w:val="0"/>
          <w:bCs w:val="0"/>
          <w:color w:val="1F3864"/>
          <w:kern w:val="2"/>
          <w:sz w:val="24"/>
          <w:szCs w:val="24"/>
        </w:rPr>
      </w:pPr>
    </w:p>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北京教育考试院</w:t>
      </w:r>
    </w:p>
    <w:p>
      <w:pPr>
        <w:spacing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2024年度单位预算信息公开</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pStyle w:val="2"/>
        <w:rPr>
          <w:color w:val="000000"/>
        </w:rPr>
      </w:pP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2024年度单位预算情况说明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一、单位情况说明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6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2024年度单位预算报表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一、收支总表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    </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三、支出总表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四、项目支出表</w:t>
      </w:r>
    </w:p>
    <w:p>
      <w:pPr>
        <w:autoSpaceDE w:val="0"/>
        <w:autoSpaceDN w:val="0"/>
        <w:adjustRightInd w:val="0"/>
        <w:spacing w:line="560" w:lineRule="exact"/>
        <w:ind w:firstLine="64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五、政府采购预算明细表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六、财政拨款收支总表</w:t>
      </w:r>
    </w:p>
    <w:p>
      <w:pPr>
        <w:autoSpaceDE w:val="0"/>
        <w:autoSpaceDN w:val="0"/>
        <w:adjustRightInd w:val="0"/>
        <w:spacing w:line="56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七、一般公共预算财政拨款支出表</w:t>
      </w:r>
    </w:p>
    <w:p>
      <w:pPr>
        <w:autoSpaceDE w:val="0"/>
        <w:autoSpaceDN w:val="0"/>
        <w:adjustRightInd w:val="0"/>
        <w:spacing w:line="560" w:lineRule="exact"/>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 xml:space="preserve">    </w:t>
      </w:r>
      <w:r>
        <w:rPr>
          <w:rFonts w:hint="eastAsia" w:ascii="仿宋_GB2312" w:hAnsi="仿宋_GB2312" w:eastAsia="仿宋_GB2312" w:cs="仿宋_GB2312"/>
          <w:color w:val="000000"/>
          <w:spacing w:val="-16"/>
          <w:kern w:val="0"/>
          <w:sz w:val="32"/>
          <w:szCs w:val="32"/>
          <w:lang w:val="zh-CN"/>
        </w:rPr>
        <w:t>八、一般公共预算财政拨款基本支出表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hAnsi="仿宋_GB2312" w:eastAsia="仿宋_GB2312" w:cs="仿宋_GB2312"/>
          <w:color w:val="000000"/>
          <w:spacing w:val="-16"/>
          <w:kern w:val="0"/>
          <w:sz w:val="32"/>
          <w:szCs w:val="32"/>
          <w:lang w:val="zh-CN"/>
        </w:rPr>
      </w:pPr>
      <w:r>
        <w:rPr>
          <w:rFonts w:hint="eastAsia" w:ascii="仿宋_GB2312" w:hAnsi="仿宋_GB2312" w:eastAsia="仿宋_GB2312" w:cs="仿宋_GB2312"/>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6"/>
          <w:kern w:val="0"/>
          <w:sz w:val="32"/>
          <w:szCs w:val="32"/>
          <w:lang w:val="zh-CN"/>
        </w:rPr>
        <w:t>十一、财政拨款</w:t>
      </w:r>
      <w:r>
        <w:rPr>
          <w:rFonts w:hint="eastAsia" w:ascii="仿宋_GB2312" w:hAnsi="仿宋_GB2312" w:eastAsia="仿宋_GB2312" w:cs="仿宋_GB2312"/>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spacing w:val="-18"/>
          <w:kern w:val="0"/>
          <w:sz w:val="32"/>
          <w:szCs w:val="32"/>
          <w:lang w:val="zh-CN"/>
        </w:rPr>
        <w:t>十</w:t>
      </w:r>
      <w:r>
        <w:rPr>
          <w:rFonts w:hint="eastAsia" w:ascii="仿宋_GB2312" w:hAnsi="仿宋_GB2312" w:eastAsia="仿宋_GB2312" w:cs="仿宋_GB2312"/>
          <w:color w:val="000000"/>
          <w:kern w:val="0"/>
          <w:sz w:val="32"/>
          <w:szCs w:val="32"/>
          <w:lang w:val="zh-CN"/>
        </w:rPr>
        <w:t>二、政府购买服务预算财政拨款明细表</w:t>
      </w:r>
    </w:p>
    <w:p>
      <w:pPr>
        <w:autoSpaceDE w:val="0"/>
        <w:autoSpaceDN w:val="0"/>
        <w:adjustRightInd w:val="0"/>
        <w:spacing w:line="560" w:lineRule="exact"/>
        <w:ind w:firstLine="640" w:firstLineChars="200"/>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十三、项目支出绩效目标表</w:t>
      </w: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仿宋_GB2312" w:hAnsi="仿宋_GB2312" w:eastAsia="仿宋_GB2312" w:cs="仿宋_GB2312"/>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rPr>
          <w:rFonts w:ascii="Cambria" w:hAnsi="Cambria" w:eastAsia="黑体" w:cs="Times New Roman"/>
          <w:b/>
          <w:bCs/>
          <w:kern w:val="0"/>
          <w:sz w:val="36"/>
          <w:szCs w:val="32"/>
        </w:rPr>
      </w:pPr>
    </w:p>
    <w:p>
      <w:pPr>
        <w:pStyle w:val="2"/>
      </w:pPr>
    </w:p>
    <w:p/>
    <w:p>
      <w:pPr>
        <w:pStyle w:val="2"/>
      </w:pPr>
    </w:p>
    <w:p/>
    <w:p>
      <w:pPr>
        <w:pStyle w:val="2"/>
      </w:pPr>
    </w:p>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2024年度单位预算情况说明</w:t>
      </w:r>
    </w:p>
    <w:p>
      <w:pPr>
        <w:spacing w:line="560" w:lineRule="exact"/>
        <w:ind w:firstLine="640" w:firstLineChars="200"/>
        <w:rPr>
          <w:rFonts w:ascii="黑体" w:eastAsia="黑体"/>
          <w:color w:val="000000"/>
          <w:sz w:val="32"/>
          <w:szCs w:val="32"/>
        </w:rPr>
      </w:pPr>
    </w:p>
    <w:p>
      <w:pPr>
        <w:spacing w:line="56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keepNext w:val="0"/>
        <w:keepLines w:val="0"/>
        <w:pageBreakBefore w:val="0"/>
        <w:widowControl w:val="0"/>
        <w:kinsoku/>
        <w:wordWrap/>
        <w:overflowPunct/>
        <w:autoSpaceDN/>
        <w:bidi w:val="0"/>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北京教育考试院为公益一类事业单位，主要职责为</w:t>
      </w:r>
      <w:r>
        <w:rPr>
          <w:rFonts w:hint="eastAsia" w:ascii="仿宋" w:hAnsi="仿宋" w:eastAsia="仿宋" w:cs="仿宋"/>
          <w:sz w:val="32"/>
          <w:szCs w:val="32"/>
        </w:rPr>
        <w:t>主要职责是组织教育考试、招生、促进教育发展。负责北京地区的高级中等学校考试招生、普通高等学校考试招生、成人高等学校考试招生、高等教育自学考试及面向社会的非学历等级证书考试的管理和研究工作。负责管理和承办北京地区中外合作教育考试。负责教育考试命题、研究与评价服务。</w:t>
      </w:r>
    </w:p>
    <w:p>
      <w:pPr>
        <w:keepNext w:val="0"/>
        <w:keepLines w:val="0"/>
        <w:pageBreakBefore w:val="0"/>
        <w:widowControl w:val="0"/>
        <w:kinsoku/>
        <w:wordWrap/>
        <w:overflowPunct/>
        <w:autoSpaceDN/>
        <w:bidi w:val="0"/>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（二）机构设置情况</w:t>
      </w:r>
    </w:p>
    <w:p>
      <w:pPr>
        <w:keepNext w:val="0"/>
        <w:keepLines w:val="0"/>
        <w:pageBreakBefore w:val="0"/>
        <w:widowControl w:val="0"/>
        <w:kinsoku/>
        <w:wordWrap/>
        <w:overflowPunct/>
        <w:topLinePunct/>
        <w:autoSpaceDE w:val="0"/>
        <w:autoSpaceDN/>
        <w:bidi w:val="0"/>
        <w:adjustRightInd w:val="0"/>
        <w:snapToGrid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北京教育考试院内设16个机构，分别为：党政办公室、人事处、党群工作处、行政财务处、纪律检查委员会办公室、科研与评价处、考务处、信息化处、命题一处、命题二处、</w:t>
      </w:r>
      <w:r>
        <w:rPr>
          <w:rFonts w:hint="eastAsia" w:ascii="仿宋_GB2312" w:hAnsi="仿宋_GB2312" w:eastAsia="仿宋_GB2312" w:cs="仿宋_GB2312"/>
          <w:bCs/>
          <w:sz w:val="32"/>
          <w:szCs w:val="32"/>
        </w:rPr>
        <w:t>中等学校招生办公室</w:t>
      </w:r>
      <w:r>
        <w:rPr>
          <w:rFonts w:hint="eastAsia" w:ascii="仿宋_GB2312" w:eastAsia="仿宋_GB2312"/>
          <w:sz w:val="32"/>
          <w:szCs w:val="32"/>
        </w:rPr>
        <w:t>、普通高等学校招生办公室、研究生招生办公室、成人教育招生办公室、高等教育自学考试办公室、社会考试办公室。</w:t>
      </w:r>
    </w:p>
    <w:p>
      <w:pPr>
        <w:keepNext w:val="0"/>
        <w:keepLines w:val="0"/>
        <w:pageBreakBefore w:val="0"/>
        <w:widowControl w:val="0"/>
        <w:kinsoku/>
        <w:wordWrap/>
        <w:overflowPunct/>
        <w:autoSpaceDN/>
        <w:bidi w:val="0"/>
        <w:spacing w:line="560" w:lineRule="exact"/>
        <w:ind w:firstLine="480" w:firstLineChars="150"/>
        <w:textAlignment w:val="auto"/>
        <w:rPr>
          <w:rFonts w:ascii="楷体_GB2312" w:eastAsia="楷体_GB2312"/>
          <w:color w:val="000000"/>
          <w:sz w:val="32"/>
          <w:szCs w:val="32"/>
        </w:rPr>
      </w:pPr>
      <w:r>
        <w:rPr>
          <w:rFonts w:hint="eastAsia" w:ascii="楷体_GB2312" w:eastAsia="楷体_GB2312"/>
          <w:color w:val="000000"/>
          <w:sz w:val="32"/>
          <w:szCs w:val="32"/>
        </w:rPr>
        <w:t>（三）人员编制及实有情况</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color w:val="000000"/>
          <w:sz w:val="32"/>
          <w:szCs w:val="32"/>
        </w:rPr>
        <w:t>北京教育考试院</w:t>
      </w:r>
      <w:r>
        <w:rPr>
          <w:rFonts w:hint="eastAsia" w:ascii="仿宋_GB2312" w:eastAsia="仿宋_GB2312"/>
          <w:color w:val="000000"/>
          <w:sz w:val="32"/>
          <w:szCs w:val="32"/>
          <w:lang w:val="en-US" w:eastAsia="zh-CN"/>
        </w:rPr>
        <w:t>行政编制0人，实际0人；</w:t>
      </w:r>
      <w:r>
        <w:rPr>
          <w:rFonts w:hint="eastAsia" w:ascii="仿宋_GB2312" w:eastAsia="仿宋_GB2312"/>
          <w:color w:val="000000"/>
          <w:sz w:val="32"/>
          <w:szCs w:val="32"/>
        </w:rPr>
        <w:t>事业编制184人，</w:t>
      </w:r>
      <w:r>
        <w:rPr>
          <w:rFonts w:hint="eastAsia" w:ascii="仿宋_GB2312" w:eastAsia="仿宋_GB2312"/>
          <w:color w:val="000000"/>
          <w:sz w:val="32"/>
          <w:szCs w:val="32"/>
          <w:lang w:val="en-US" w:eastAsia="zh-CN"/>
        </w:rPr>
        <w:t>实际</w:t>
      </w:r>
      <w:r>
        <w:rPr>
          <w:rFonts w:hint="eastAsia" w:ascii="仿宋_GB2312" w:eastAsia="仿宋_GB2312"/>
          <w:color w:val="000000"/>
          <w:sz w:val="32"/>
          <w:szCs w:val="32"/>
        </w:rPr>
        <w:t>164人，</w:t>
      </w:r>
      <w:r>
        <w:rPr>
          <w:rFonts w:hint="eastAsia" w:ascii="仿宋_GB2312" w:eastAsia="仿宋_GB2312"/>
          <w:color w:val="000000"/>
          <w:sz w:val="32"/>
          <w:szCs w:val="32"/>
          <w:lang w:val="en-US" w:eastAsia="zh-CN"/>
        </w:rPr>
        <w:t>聘用人员（</w:t>
      </w:r>
      <w:r>
        <w:rPr>
          <w:rFonts w:hint="eastAsia" w:ascii="仿宋_GB2312" w:eastAsia="仿宋_GB2312"/>
          <w:sz w:val="32"/>
          <w:szCs w:val="32"/>
        </w:rPr>
        <w:t>其他聘用人员-</w:t>
      </w:r>
      <w:r>
        <w:rPr>
          <w:rFonts w:hint="eastAsia" w:ascii="仿宋_GB2312" w:eastAsia="仿宋_GB2312"/>
          <w:sz w:val="32"/>
          <w:szCs w:val="32"/>
          <w:lang w:val="en-US" w:eastAsia="zh-CN"/>
        </w:rPr>
        <w:t>-</w:t>
      </w:r>
      <w:r>
        <w:rPr>
          <w:rFonts w:hint="eastAsia" w:ascii="仿宋_GB2312" w:eastAsia="仿宋_GB2312"/>
          <w:sz w:val="32"/>
          <w:szCs w:val="32"/>
        </w:rPr>
        <w:t>临时工</w:t>
      </w:r>
      <w:r>
        <w:rPr>
          <w:rFonts w:hint="eastAsia" w:ascii="仿宋_GB2312" w:eastAsia="仿宋_GB2312"/>
          <w:sz w:val="32"/>
          <w:szCs w:val="32"/>
          <w:lang w:eastAsia="zh-CN"/>
        </w:rPr>
        <w:t>）</w:t>
      </w:r>
      <w:r>
        <w:rPr>
          <w:rFonts w:hint="eastAsia" w:ascii="仿宋_GB2312" w:eastAsia="仿宋_GB2312"/>
          <w:sz w:val="32"/>
          <w:szCs w:val="32"/>
        </w:rPr>
        <w:t>4人</w:t>
      </w:r>
      <w:r>
        <w:rPr>
          <w:rFonts w:hint="eastAsia" w:ascii="仿宋" w:hAnsi="仿宋" w:eastAsia="仿宋" w:cs="仿宋"/>
          <w:color w:val="000000"/>
          <w:sz w:val="32"/>
          <w:szCs w:val="32"/>
        </w:rPr>
        <w:t>。</w:t>
      </w:r>
      <w:r>
        <w:rPr>
          <w:rFonts w:hint="eastAsia" w:ascii="仿宋_GB2312" w:eastAsia="仿宋_GB2312"/>
          <w:sz w:val="32"/>
          <w:szCs w:val="32"/>
        </w:rPr>
        <w:t>离退休人员129人，其中：离休0人，退休129人。</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color w:val="000000"/>
          <w:sz w:val="32"/>
          <w:szCs w:val="32"/>
        </w:rPr>
      </w:pPr>
      <w:r>
        <w:rPr>
          <w:rFonts w:hint="eastAsia" w:ascii="黑体" w:eastAsia="黑体"/>
          <w:color w:val="000000"/>
          <w:sz w:val="32"/>
          <w:szCs w:val="32"/>
        </w:rPr>
        <w:t>二、收入预算情况说明</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度收入预算28512.39万元，比2023年年初预算数27278.61万元增加1233.78万元，增长4.52%。主要原因是按照全口径预算管理要求，为进一步加强非财政拨款资金管理，北京教育考试院将所有非财政拨款资金全部纳入年度预算管理。</w:t>
      </w:r>
    </w:p>
    <w:p>
      <w:pPr>
        <w:keepNext w:val="0"/>
        <w:keepLines w:val="0"/>
        <w:pageBreakBefore w:val="0"/>
        <w:widowControl w:val="0"/>
        <w:kinsoku/>
        <w:wordWrap/>
        <w:overflowPunct/>
        <w:autoSpaceDN/>
        <w:bidi w:val="0"/>
        <w:spacing w:line="560" w:lineRule="exact"/>
        <w:ind w:firstLine="480" w:firstLineChars="150"/>
        <w:textAlignment w:val="auto"/>
        <w:rPr>
          <w:rFonts w:ascii="仿宋_GB2312" w:eastAsia="仿宋_GB2312"/>
          <w:sz w:val="32"/>
          <w:szCs w:val="32"/>
        </w:rPr>
      </w:pPr>
      <w:r>
        <w:rPr>
          <w:rFonts w:hint="eastAsia" w:ascii="楷体_GB2312" w:eastAsia="楷体_GB2312"/>
          <w:sz w:val="32"/>
          <w:szCs w:val="32"/>
        </w:rPr>
        <w:t>（一）本年财政拨款收</w:t>
      </w:r>
      <w:r>
        <w:rPr>
          <w:rFonts w:hint="eastAsia" w:ascii="仿宋_GB2312" w:eastAsia="仿宋_GB2312"/>
          <w:sz w:val="32"/>
          <w:szCs w:val="32"/>
        </w:rPr>
        <w:t>入14156.62万元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w:t>
      </w:r>
      <w:bookmarkStart w:id="0" w:name="OLE_LINK2"/>
      <w:r>
        <w:rPr>
          <w:rFonts w:hint="eastAsia" w:ascii="仿宋_GB2312" w:eastAsia="仿宋_GB2312"/>
          <w:sz w:val="32"/>
          <w:szCs w:val="32"/>
        </w:rPr>
        <w:t>一般公共预算拨款收入14156.62万元。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2.政府性基金预算拨款收入0万元。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3.国有资本经营预算拨款收入0万元。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（二）本年其他资金收入9177.03万元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4.财政专户管理资金收入7944.29万元。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5.事业收入0万元。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6.上级补助收入0万元。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7.附属单位上缴收入0万元。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8.事业单位经营收入1224.74万元。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9.其他收入8</w:t>
      </w:r>
      <w:r>
        <w:rPr>
          <w:rFonts w:hint="eastAsia" w:ascii="仿宋_GB2312" w:eastAsia="仿宋_GB2312"/>
          <w:sz w:val="32"/>
          <w:szCs w:val="32"/>
          <w:lang w:val="en-US" w:eastAsia="zh-CN"/>
        </w:rPr>
        <w:t>.00</w:t>
      </w:r>
      <w:r>
        <w:rPr>
          <w:rFonts w:hint="eastAsia" w:ascii="仿宋_GB2312" w:eastAsia="仿宋_GB2312"/>
          <w:sz w:val="32"/>
          <w:szCs w:val="32"/>
        </w:rPr>
        <w:t>万元。</w:t>
      </w:r>
    </w:p>
    <w:p>
      <w:pPr>
        <w:keepNext w:val="0"/>
        <w:keepLines w:val="0"/>
        <w:pageBreakBefore w:val="0"/>
        <w:widowControl w:val="0"/>
        <w:kinsoku/>
        <w:wordWrap/>
        <w:overflowPunct/>
        <w:autoSpaceDN/>
        <w:bidi w:val="0"/>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（三）上年结转结余5178.74万元。</w:t>
      </w:r>
    </w:p>
    <w:p>
      <w:pPr>
        <w:keepNext w:val="0"/>
        <w:keepLines w:val="0"/>
        <w:pageBreakBefore w:val="0"/>
        <w:widowControl w:val="0"/>
        <w:kinsoku/>
        <w:wordWrap/>
        <w:overflowPunct/>
        <w:autoSpaceDN/>
        <w:bidi w:val="0"/>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10.上年结转结余5178.74万元。</w:t>
      </w:r>
    </w:p>
    <w:bookmarkEnd w:id="0"/>
    <w:p>
      <w:pPr>
        <w:keepNext w:val="0"/>
        <w:keepLines w:val="0"/>
        <w:pageBreakBefore w:val="0"/>
        <w:widowControl w:val="0"/>
        <w:kinsoku/>
        <w:wordWrap/>
        <w:overflowPunct/>
        <w:autoSpaceDN/>
        <w:bidi w:val="0"/>
        <w:spacing w:line="560" w:lineRule="exact"/>
        <w:textAlignment w:val="auto"/>
        <w:rPr>
          <w:rFonts w:ascii="黑体" w:eastAsia="黑体"/>
          <w:sz w:val="32"/>
          <w:szCs w:val="32"/>
        </w:rPr>
      </w:pPr>
    </w:p>
    <w:p>
      <w:pPr>
        <w:spacing w:line="560" w:lineRule="exact"/>
        <w:rPr>
          <w:rFonts w:ascii="黑体" w:eastAsia="黑体"/>
          <w:sz w:val="32"/>
          <w:szCs w:val="32"/>
        </w:rPr>
      </w:pPr>
    </w:p>
    <w:p>
      <w:pPr>
        <w:rPr>
          <w:rFonts w:hint="eastAsia" w:ascii="仿宋_GB2312" w:eastAsia="仿宋_GB2312"/>
          <w:b/>
          <w:sz w:val="32"/>
          <w:szCs w:val="32"/>
        </w:rPr>
      </w:pPr>
    </w:p>
    <w:p>
      <w:pPr>
        <w:rPr>
          <w:rFonts w:hint="eastAsia" w:ascii="仿宋_GB2312" w:eastAsia="仿宋_GB2312"/>
          <w:b/>
          <w:sz w:val="32"/>
          <w:szCs w:val="32"/>
        </w:rPr>
      </w:pPr>
    </w:p>
    <w:p>
      <w:pPr>
        <w:jc w:val="both"/>
        <w:rPr>
          <w:rFonts w:hint="eastAsia" w:ascii="仿宋_GB2312" w:eastAsia="仿宋_GB2312"/>
          <w:b/>
          <w:sz w:val="32"/>
          <w:szCs w:val="32"/>
        </w:rPr>
      </w:pPr>
      <w:r>
        <w:rPr>
          <w:rFonts w:ascii="黑体" w:eastAsia="黑体"/>
          <w:sz w:val="32"/>
          <w:szCs w:val="32"/>
        </w:rPr>
        <w:drawing>
          <wp:inline distT="0" distB="0" distL="0" distR="0">
            <wp:extent cx="5332730" cy="3160395"/>
            <wp:effectExtent l="4445" t="4445" r="9525" b="10160"/>
            <wp:docPr id="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spacing w:beforeLines="50"/>
        <w:rPr>
          <w:rFonts w:ascii="仿宋_GB2312" w:eastAsia="仿宋_GB2312"/>
          <w:b/>
          <w:sz w:val="32"/>
          <w:szCs w:val="32"/>
        </w:rPr>
      </w:pPr>
      <w:r>
        <w:rPr>
          <w:rFonts w:hint="eastAsia" w:ascii="仿宋_GB2312" w:eastAsia="仿宋_GB2312"/>
          <w:b/>
          <w:sz w:val="32"/>
          <w:szCs w:val="32"/>
        </w:rPr>
        <w:t xml:space="preserve">              图1：收入预算</w:t>
      </w:r>
    </w:p>
    <w:p>
      <w:pPr>
        <w:keepNext w:val="0"/>
        <w:keepLines w:val="0"/>
        <w:pageBreakBefore w:val="0"/>
        <w:widowControl w:val="0"/>
        <w:kinsoku/>
        <w:wordWrap/>
        <w:overflowPunct/>
        <w:topLinePunct w:val="0"/>
        <w:autoSpaceDE/>
        <w:autoSpaceDN/>
        <w:bidi w:val="0"/>
        <w:adjustRightInd/>
        <w:snapToGrid/>
        <w:spacing w:beforeLines="50" w:line="560" w:lineRule="exact"/>
        <w:textAlignment w:val="auto"/>
        <w:rPr>
          <w:rFonts w:ascii="黑体" w:hAnsi="黑体" w:eastAsia="黑体"/>
          <w:sz w:val="32"/>
          <w:szCs w:val="32"/>
        </w:rPr>
      </w:pPr>
      <w:r>
        <w:rPr>
          <w:rFonts w:hint="eastAsia" w:ascii="黑体" w:hAnsi="黑体" w:eastAsia="黑体"/>
          <w:sz w:val="32"/>
          <w:szCs w:val="32"/>
        </w:rPr>
        <w:t xml:space="preserve">    三、支出预算情况说明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2024年支出预算28512.39万元，比2023年年初预算数27278.61万元增加1233.78万元，增长4.52%。主要原因是按照全口径预算管理要求，将跨年度使用的项目经费及上年结转结余资金等非财政拨款项目经费纳入预算管理。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楷体_GB2312" w:hAnsi="楷体_GB2312" w:eastAsia="楷体_GB2312" w:cs="楷体_GB2312"/>
          <w:sz w:val="32"/>
          <w:szCs w:val="32"/>
        </w:rPr>
        <w:t>（一）基本支出。</w:t>
      </w:r>
      <w:r>
        <w:rPr>
          <w:rFonts w:hint="eastAsia" w:ascii="仿宋_GB2312" w:eastAsia="仿宋_GB2312"/>
          <w:sz w:val="32"/>
          <w:szCs w:val="32"/>
        </w:rPr>
        <w:t>基本支出预算24833.66万元，占总支出预算93.67%，比2023年年初预算数23791.16万元增加1042.50万元，增长4.38%。</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楷体_GB2312" w:hAnsi="楷体_GB2312" w:eastAsia="楷体_GB2312" w:cs="楷体_GB2312"/>
          <w:sz w:val="32"/>
          <w:szCs w:val="32"/>
        </w:rPr>
        <w:t>（二）项目支出。</w:t>
      </w:r>
      <w:r>
        <w:rPr>
          <w:rFonts w:hint="eastAsia" w:ascii="仿宋_GB2312" w:eastAsia="仿宋_GB2312"/>
          <w:sz w:val="32"/>
          <w:szCs w:val="32"/>
        </w:rPr>
        <w:t>项目支出预算1678.73万元，比2023年年初预算数3487.45万元减少1808.72万元，减少51.86%。其中：</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rPr>
        <w:t>1.事业单位经营支出0万元。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rPr>
        <w:t>2.上缴上级支出0万元。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eastAsia="仿宋_GB2312"/>
          <w:sz w:val="32"/>
          <w:szCs w:val="32"/>
        </w:rPr>
      </w:pPr>
      <w:r>
        <w:rPr>
          <w:rFonts w:hint="eastAsia" w:ascii="仿宋_GB2312" w:eastAsia="仿宋_GB2312"/>
          <w:sz w:val="32"/>
          <w:szCs w:val="32"/>
        </w:rPr>
        <w:t>3.对附属单位补助支出0万元。</w:t>
      </w:r>
    </w:p>
    <w:p>
      <w:pPr>
        <w:spacing w:line="560" w:lineRule="exact"/>
        <w:ind w:firstLine="640"/>
        <w:rPr>
          <w:rFonts w:ascii="仿宋_GB2312" w:eastAsia="仿宋_GB2312"/>
          <w:sz w:val="32"/>
          <w:szCs w:val="32"/>
        </w:rPr>
      </w:pPr>
    </w:p>
    <w:p>
      <w:pPr>
        <w:rPr>
          <w:rFonts w:ascii="仿宋_GB2312" w:eastAsia="仿宋_GB2312"/>
          <w:color w:val="1F3864"/>
          <w:sz w:val="24"/>
        </w:rPr>
      </w:pPr>
      <w:r>
        <w:rPr>
          <w:rFonts w:ascii="仿宋_GB2312" w:eastAsia="仿宋_GB2312"/>
          <w:sz w:val="32"/>
          <w:szCs w:val="32"/>
        </w:rPr>
        <w:drawing>
          <wp:inline distT="0" distB="0" distL="0" distR="0">
            <wp:extent cx="5257800" cy="3076575"/>
            <wp:effectExtent l="5080" t="4445" r="7620" b="5080"/>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ind w:firstLine="642"/>
        <w:jc w:val="center"/>
      </w:pPr>
      <w:r>
        <w:rPr>
          <w:rFonts w:hint="eastAsia" w:ascii="仿宋_GB2312" w:eastAsia="仿宋_GB2312"/>
          <w:sz w:val="32"/>
        </w:rPr>
        <w:t>图2：基本支出和项目支出情况</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年终结转结余资金2000万元。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四、财政拨款“三公”经费预算情况说明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（一）“三公”经费的单位范围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北京教育考试院因公出国（境）费用、公务接待费、公务用车购置和运行维护费开支单位包括1个所属单位。其他所属单位2024年无财政拨款安排的“三公”经费预算。</w:t>
      </w:r>
      <w:r>
        <w:rPr>
          <w:rFonts w:ascii="仿宋_GB2312"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2024年财政拨款“三公”经费预算39.88万元，比2023年财政拨款“三公”经费预算增加17.98万元。其中：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1.因公出国（境）费用。2</w:t>
      </w:r>
      <w:r>
        <w:rPr>
          <w:rFonts w:ascii="仿宋_GB2312" w:eastAsia="仿宋_GB2312"/>
          <w:sz w:val="32"/>
          <w:szCs w:val="32"/>
        </w:rPr>
        <w:t>024</w:t>
      </w:r>
      <w:r>
        <w:rPr>
          <w:rFonts w:hint="eastAsia" w:ascii="仿宋_GB2312" w:eastAsia="仿宋_GB2312"/>
          <w:sz w:val="32"/>
          <w:szCs w:val="32"/>
        </w:rPr>
        <w:t>年预算数0万元，与2</w:t>
      </w:r>
      <w:r>
        <w:rPr>
          <w:rFonts w:ascii="仿宋_GB2312" w:eastAsia="仿宋_GB2312"/>
          <w:sz w:val="32"/>
          <w:szCs w:val="32"/>
        </w:rPr>
        <w:t>023</w:t>
      </w:r>
      <w:r>
        <w:rPr>
          <w:rFonts w:hint="eastAsia" w:ascii="仿宋_GB2312" w:eastAsia="仿宋_GB2312"/>
          <w:sz w:val="32"/>
          <w:szCs w:val="32"/>
        </w:rPr>
        <w:t>年持平。</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_GB2312" w:eastAsia="仿宋_GB2312"/>
          <w:spacing w:val="-10"/>
          <w:sz w:val="32"/>
          <w:szCs w:val="32"/>
        </w:rPr>
      </w:pPr>
      <w:r>
        <w:rPr>
          <w:rFonts w:hint="eastAsia" w:ascii="仿宋_GB2312" w:eastAsia="仿宋_GB2312"/>
          <w:spacing w:val="-10"/>
          <w:sz w:val="32"/>
          <w:szCs w:val="32"/>
        </w:rPr>
        <w:t>2.公务接待费。2024年预算数4.40万元，</w:t>
      </w:r>
      <w:r>
        <w:rPr>
          <w:rFonts w:hint="eastAsia" w:ascii="仿宋_GB2312" w:eastAsia="仿宋_GB2312"/>
          <w:spacing w:val="-10"/>
          <w:sz w:val="32"/>
          <w:szCs w:val="32"/>
          <w:lang w:val="en-US" w:eastAsia="zh-CN"/>
        </w:rPr>
        <w:t>与</w:t>
      </w:r>
      <w:r>
        <w:rPr>
          <w:rFonts w:hint="eastAsia" w:ascii="仿宋_GB2312" w:eastAsia="仿宋_GB2312"/>
          <w:spacing w:val="-10"/>
          <w:sz w:val="32"/>
          <w:szCs w:val="32"/>
        </w:rPr>
        <w:t>2023年持平。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1F3864"/>
          <w:sz w:val="24"/>
        </w:rPr>
      </w:pPr>
      <w:r>
        <w:rPr>
          <w:rFonts w:hint="eastAsia" w:ascii="仿宋_GB2312" w:eastAsia="仿宋_GB2312"/>
          <w:sz w:val="32"/>
          <w:szCs w:val="32"/>
        </w:rPr>
        <w:t>3.公务用车购置和运行维护费。2024年预算数</w:t>
      </w:r>
      <w:r>
        <w:rPr>
          <w:rFonts w:hint="eastAsia" w:ascii="仿宋_GB2312" w:eastAsia="仿宋_GB2312"/>
          <w:sz w:val="32"/>
          <w:szCs w:val="32"/>
          <w:lang w:val="en-US" w:eastAsia="zh-CN"/>
        </w:rPr>
        <w:t>35.48</w:t>
      </w:r>
      <w:r>
        <w:rPr>
          <w:rFonts w:hint="eastAsia" w:ascii="仿宋_GB2312" w:eastAsia="仿宋_GB2312"/>
          <w:sz w:val="32"/>
          <w:szCs w:val="32"/>
        </w:rPr>
        <w:t>万元，包括：公务用车购置费2024年预算数17.98万元，比2023年年初预算数0万元增加17.98万元，主要原因：根据事业发展规划，新增公车购置1辆。公务用车运行维护费2024年预算数17.50万元，其中：公务用车燃油9.28万元，公务用车维修2.98万元，公务用车保险2.9</w:t>
      </w:r>
      <w:r>
        <w:rPr>
          <w:rFonts w:hint="eastAsia" w:ascii="仿宋_GB2312" w:eastAsia="仿宋_GB2312"/>
          <w:sz w:val="32"/>
          <w:szCs w:val="32"/>
          <w:lang w:val="en-US" w:eastAsia="zh-CN"/>
        </w:rPr>
        <w:t>7</w:t>
      </w:r>
      <w:r>
        <w:rPr>
          <w:rFonts w:hint="eastAsia" w:ascii="仿宋_GB2312" w:eastAsia="仿宋_GB2312"/>
          <w:sz w:val="32"/>
          <w:szCs w:val="32"/>
        </w:rPr>
        <w:t>万元，其他支出2.2</w:t>
      </w:r>
      <w:r>
        <w:rPr>
          <w:rFonts w:hint="eastAsia" w:ascii="仿宋_GB2312" w:eastAsia="仿宋_GB2312"/>
          <w:sz w:val="32"/>
          <w:szCs w:val="32"/>
          <w:lang w:val="en-US" w:eastAsia="zh-CN"/>
        </w:rPr>
        <w:t>7</w:t>
      </w:r>
      <w:r>
        <w:rPr>
          <w:rFonts w:hint="eastAsia" w:ascii="仿宋_GB2312" w:eastAsia="仿宋_GB2312"/>
          <w:sz w:val="32"/>
          <w:szCs w:val="32"/>
        </w:rPr>
        <w:t>万元。公务用车运行维护费2024年预算数与2023年持平。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五、其他情况说明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（一）政府采购预算说明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2024年北京教育考试院政府采购预算总额1530.28万元，其中：政府采购货物预算73.51万元，政府采购工程预算0万元，政府采购服务预算</w:t>
      </w:r>
      <w:r>
        <w:rPr>
          <w:rFonts w:ascii="仿宋_GB2312" w:eastAsia="仿宋_GB2312"/>
          <w:sz w:val="32"/>
          <w:szCs w:val="32"/>
        </w:rPr>
        <w:t>1456.7</w:t>
      </w:r>
      <w:r>
        <w:rPr>
          <w:rFonts w:hint="eastAsia" w:ascii="仿宋_GB2312" w:eastAsia="仿宋_GB2312"/>
          <w:sz w:val="32"/>
          <w:szCs w:val="32"/>
        </w:rPr>
        <w:t>7万元。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（二）政府购买服务预算说明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2024年北京教育考试院政府购买服务预算总额0万元。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（三）机关运行经费说明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我单位不在机关运行经费统计范围之内。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（四）项目支出绩效目标情况说明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1F3864"/>
          <w:sz w:val="24"/>
        </w:rPr>
      </w:pPr>
      <w:r>
        <w:rPr>
          <w:rFonts w:hint="eastAsia" w:ascii="仿宋_GB2312" w:eastAsia="仿宋_GB2312"/>
          <w:sz w:val="32"/>
          <w:szCs w:val="32"/>
        </w:rPr>
        <w:t>2024年，北京教育考试院填报绩效目标的预算项目9个，占本单位本年预算项目9个的100%。填报绩效目标的项目支出预算1476.33万元，占本单位本年项目支出预算的100%。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（五）重点行政事业性收费情况说明</w:t>
      </w:r>
    </w:p>
    <w:p>
      <w:pPr>
        <w:keepNext w:val="0"/>
        <w:keepLines w:val="0"/>
        <w:pageBreakBefore w:val="0"/>
        <w:widowControl w:val="0"/>
        <w:kinsoku/>
        <w:wordWrap/>
        <w:overflowPunct/>
        <w:topLinePunct w:val="0"/>
        <w:autoSpaceDE/>
        <w:autoSpaceDN/>
        <w:bidi w:val="0"/>
        <w:adjustRightInd/>
        <w:snapToGrid/>
        <w:spacing w:line="560" w:lineRule="exact"/>
        <w:ind w:firstLine="800" w:firstLineChars="250"/>
        <w:textAlignment w:val="auto"/>
        <w:rPr>
          <w:rFonts w:ascii="仿宋_GB2312" w:eastAsia="仿宋_GB2312"/>
          <w:color w:val="1F3864"/>
          <w:sz w:val="24"/>
        </w:rPr>
      </w:pPr>
      <w:r>
        <w:rPr>
          <w:rFonts w:hint="eastAsia" w:ascii="仿宋_GB2312" w:eastAsia="仿宋_GB2312"/>
          <w:sz w:val="32"/>
          <w:szCs w:val="32"/>
        </w:rPr>
        <w:t>本单位2024年无重点行政事业性收费。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sz w:val="32"/>
          <w:szCs w:val="32"/>
        </w:rPr>
      </w:pPr>
      <w:r>
        <w:rPr>
          <w:rFonts w:hint="eastAsia" w:ascii="楷体_GB2312" w:eastAsia="楷体_GB2312"/>
          <w:sz w:val="32"/>
          <w:szCs w:val="32"/>
        </w:rPr>
        <w:t>（六）国有资本经营预算财政拨款情况说明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sz w:val="32"/>
          <w:szCs w:val="32"/>
        </w:rPr>
        <w:t>本单位2024</w:t>
      </w:r>
      <w:r>
        <w:rPr>
          <w:rFonts w:hint="eastAsia" w:ascii="仿宋_GB2312" w:eastAsia="仿宋_GB2312"/>
          <w:color w:val="000000"/>
          <w:sz w:val="32"/>
          <w:szCs w:val="32"/>
        </w:rPr>
        <w:t>年无国有资本经营预算财政拨款安排的预算。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_GB2312" w:eastAsia="楷体_GB2312"/>
          <w:color w:val="000000"/>
          <w:sz w:val="32"/>
          <w:szCs w:val="32"/>
        </w:rPr>
      </w:pPr>
      <w:r>
        <w:rPr>
          <w:rFonts w:hint="eastAsia" w:ascii="楷体_GB2312" w:eastAsia="楷体_GB2312"/>
          <w:color w:val="000000"/>
          <w:sz w:val="32"/>
          <w:szCs w:val="32"/>
        </w:rPr>
        <w:t>（七）国有资产占用情况说明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截至2023年底，北京教育考试院共有车辆7台，共计</w:t>
      </w:r>
      <w:r>
        <w:rPr>
          <w:rFonts w:ascii="仿宋_GB2312" w:eastAsia="仿宋_GB2312"/>
          <w:color w:val="000000"/>
          <w:sz w:val="32"/>
          <w:szCs w:val="32"/>
        </w:rPr>
        <w:t>146</w:t>
      </w:r>
      <w:r>
        <w:rPr>
          <w:rFonts w:hint="eastAsia" w:ascii="仿宋_GB2312" w:eastAsia="仿宋_GB2312"/>
          <w:color w:val="000000"/>
          <w:sz w:val="32"/>
          <w:szCs w:val="32"/>
        </w:rPr>
        <w:t>.</w:t>
      </w:r>
      <w:r>
        <w:rPr>
          <w:rFonts w:ascii="仿宋_GB2312" w:eastAsia="仿宋_GB2312"/>
          <w:color w:val="000000"/>
          <w:sz w:val="32"/>
          <w:szCs w:val="32"/>
        </w:rPr>
        <w:t>3</w:t>
      </w:r>
      <w:r>
        <w:rPr>
          <w:rFonts w:hint="eastAsia" w:ascii="仿宋_GB2312" w:eastAsia="仿宋_GB2312"/>
          <w:color w:val="000000"/>
          <w:sz w:val="32"/>
          <w:szCs w:val="32"/>
        </w:rPr>
        <w:t>9万元；单位价值50万元以上的设备2台（套）、共计</w:t>
      </w:r>
      <w:r>
        <w:rPr>
          <w:rFonts w:ascii="仿宋_GB2312" w:eastAsia="仿宋_GB2312"/>
          <w:color w:val="000000"/>
          <w:sz w:val="32"/>
          <w:szCs w:val="32"/>
        </w:rPr>
        <w:t>425</w:t>
      </w:r>
      <w:r>
        <w:rPr>
          <w:rFonts w:hint="eastAsia" w:ascii="仿宋_GB2312" w:eastAsia="仿宋_GB2312"/>
          <w:color w:val="000000"/>
          <w:sz w:val="32"/>
          <w:szCs w:val="32"/>
        </w:rPr>
        <w:t>.</w:t>
      </w:r>
      <w:r>
        <w:rPr>
          <w:rFonts w:ascii="仿宋_GB2312" w:eastAsia="仿宋_GB2312"/>
          <w:color w:val="000000"/>
          <w:sz w:val="32"/>
          <w:szCs w:val="32"/>
        </w:rPr>
        <w:t>2</w:t>
      </w:r>
      <w:r>
        <w:rPr>
          <w:rFonts w:hint="eastAsia" w:ascii="仿宋_GB2312" w:eastAsia="仿宋_GB2312"/>
          <w:color w:val="000000"/>
          <w:sz w:val="32"/>
          <w:szCs w:val="32"/>
        </w:rPr>
        <w:t>3万元。2024年预算安排中，购置单位价值50万元以上的设备2台（套），共计357.63万元。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000000"/>
          <w:sz w:val="32"/>
          <w:szCs w:val="32"/>
        </w:rPr>
      </w:pPr>
      <w:r>
        <w:rPr>
          <w:rFonts w:hint="eastAsia" w:ascii="黑体" w:eastAsia="黑体"/>
          <w:color w:val="000000"/>
          <w:sz w:val="32"/>
          <w:szCs w:val="32"/>
        </w:rPr>
        <w:t>六、名词解释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2024年度单位预算报表</w:t>
      </w:r>
    </w:p>
    <w:p>
      <w:pPr>
        <w:autoSpaceDE w:val="0"/>
        <w:autoSpaceDN w:val="0"/>
        <w:adjustRightInd w:val="0"/>
        <w:spacing w:line="560" w:lineRule="exact"/>
        <w:jc w:val="left"/>
        <w:rPr>
          <w:rFonts w:ascii="方正小标宋简体" w:eastAsia="方正小标宋简体"/>
          <w:color w:val="000000"/>
          <w:sz w:val="36"/>
          <w:szCs w:val="36"/>
        </w:rPr>
      </w:pPr>
      <w:bookmarkStart w:id="1" w:name="_GoBack"/>
      <w:bookmarkEnd w:id="1"/>
    </w:p>
    <w:p>
      <w:pPr>
        <w:spacing w:line="560" w:lineRule="exact"/>
        <w:ind w:firstLine="640" w:firstLineChars="200"/>
        <w:rPr>
          <w:rFonts w:ascii="仿宋_GB2312" w:eastAsia="仿宋_GB2312" w:cs="宋体"/>
          <w:color w:val="000000"/>
          <w:kern w:val="0"/>
          <w:sz w:val="32"/>
          <w:szCs w:val="32"/>
          <w:lang w:val="zh-CN"/>
        </w:rPr>
      </w:pPr>
      <w:r>
        <w:rPr>
          <w:rFonts w:hint="eastAsia" w:ascii="仿宋_GB2312" w:eastAsia="仿宋_GB2312"/>
          <w:color w:val="000000"/>
          <w:sz w:val="32"/>
          <w:szCs w:val="32"/>
        </w:rPr>
        <w:t>附件：北京教育考试院2024年度单位预算报表</w:t>
      </w:r>
      <w:r>
        <w:rPr>
          <w:rFonts w:hint="eastAsia" w:ascii="仿宋_GB2312" w:eastAsia="仿宋_GB2312" w:cs="宋体"/>
          <w:color w:val="000000"/>
          <w:kern w:val="0"/>
          <w:sz w:val="32"/>
          <w:szCs w:val="32"/>
          <w:lang w:val="zh-CN"/>
        </w:rPr>
        <w:t xml:space="preserve"> </w:t>
      </w: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Droid Sans">
    <w:altName w:val="等线"/>
    <w:panose1 w:val="00000000000000000000"/>
    <w:charset w:val="00"/>
    <w:family w:val="auto"/>
    <w:pitch w:val="default"/>
    <w:sig w:usb0="00000000" w:usb1="00000000" w:usb2="00000000" w:usb3="00000000" w:csb0="00040001" w:csb1="00000000"/>
  </w:font>
  <w:font w:name="Cambria">
    <w:panose1 w:val="02040803050406030204"/>
    <w:charset w:val="00"/>
    <w:family w:val="roman"/>
    <w:pitch w:val="default"/>
    <w:sig w:usb0="E00006FF" w:usb1="4000045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9 -</w:t>
                          </w:r>
                          <w:r>
                            <w:rPr>
                              <w:rFonts w:ascii="宋体" w:hAnsi="宋体"/>
                              <w:sz w:val="28"/>
                              <w:szCs w:val="28"/>
                            </w:rPr>
                            <w:fldChar w:fldCharType="end"/>
                          </w:r>
                        </w:p>
                      </w:txbxContent>
                    </wps:txbx>
                    <wps:bodyPr wrap="none" lIns="0" tIns="0" rIns="0" bIns="0" upright="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WAAAAZHJzL1BLAQIU&#10;ABQAAAAIAIdO4kDOqXm5zwAAAAUBAAAPAAAAAAAAAAEAIAAAADgAAABkcnMvZG93bnJldi54bWxQ&#10;SwECFAAUAAAACACHTuJA0WrDzrEBAABRAwAADgAAAAAAAAABACAAAAA0AQAAZHJzL2Uyb0RvYy54&#10;bWxQSwUGAAAAAAYABgBZAQAAVwUAAAAA&#10;">
              <v:fill on="f" focussize="0,0"/>
              <v:stroke on="f"/>
              <v:imagedata o:title=""/>
              <o:lock v:ext="edit"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9 -</w:t>
                    </w:r>
                    <w:r>
                      <w:rPr>
                        <w:rFonts w:ascii="宋体" w:hAnsi="宋体"/>
                        <w:sz w:val="28"/>
                        <w:szCs w:val="28"/>
                      </w:rPr>
                      <w:fldChar w:fldCharType="end"/>
                    </w:r>
                  </w:p>
                </w:txbxContent>
              </v:textbox>
            </v:shape>
          </w:pict>
        </mc:Fallback>
      </mc:AlternateContent>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2E9D19"/>
    <w:multiLevelType w:val="singleLevel"/>
    <w:tmpl w:val="FF2E9D1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true"/>
  <w:bordersDoNotSurroundFooter w:val="true"/>
  <w:documentProtection w:edit="trackedChanges"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2YyYjcyOTgxOTNjZWFiMmFlNzE5NWNhZGJiNzgifQ=="/>
    <w:docVar w:name="KSO_WPS_MARK_KEY" w:val="8f49e083-9f36-4cf1-9f56-e842a1a0ab96"/>
  </w:docVars>
  <w:rsids>
    <w:rsidRoot w:val="00797F79"/>
    <w:rsid w:val="00005648"/>
    <w:rsid w:val="000B36F0"/>
    <w:rsid w:val="000C1831"/>
    <w:rsid w:val="00101B57"/>
    <w:rsid w:val="0011074C"/>
    <w:rsid w:val="001419AA"/>
    <w:rsid w:val="001A54FF"/>
    <w:rsid w:val="001E0067"/>
    <w:rsid w:val="001E1268"/>
    <w:rsid w:val="00227A10"/>
    <w:rsid w:val="00231D1C"/>
    <w:rsid w:val="0028053E"/>
    <w:rsid w:val="002F16FF"/>
    <w:rsid w:val="0032325C"/>
    <w:rsid w:val="00347D1F"/>
    <w:rsid w:val="003B7CF5"/>
    <w:rsid w:val="004573D5"/>
    <w:rsid w:val="00473F27"/>
    <w:rsid w:val="004A4AD1"/>
    <w:rsid w:val="00534500"/>
    <w:rsid w:val="00545896"/>
    <w:rsid w:val="005C18E4"/>
    <w:rsid w:val="005C618E"/>
    <w:rsid w:val="006153E1"/>
    <w:rsid w:val="006C6B81"/>
    <w:rsid w:val="006D5291"/>
    <w:rsid w:val="006E5B04"/>
    <w:rsid w:val="006F3CD8"/>
    <w:rsid w:val="0071275B"/>
    <w:rsid w:val="00733F52"/>
    <w:rsid w:val="00755A2F"/>
    <w:rsid w:val="00797F79"/>
    <w:rsid w:val="007A0EF8"/>
    <w:rsid w:val="00843734"/>
    <w:rsid w:val="00854F72"/>
    <w:rsid w:val="008709EC"/>
    <w:rsid w:val="0087478F"/>
    <w:rsid w:val="00892A7B"/>
    <w:rsid w:val="008A2E8D"/>
    <w:rsid w:val="00901628"/>
    <w:rsid w:val="00927F1C"/>
    <w:rsid w:val="009333B3"/>
    <w:rsid w:val="00934181"/>
    <w:rsid w:val="009611FF"/>
    <w:rsid w:val="00973574"/>
    <w:rsid w:val="0098504C"/>
    <w:rsid w:val="00987A38"/>
    <w:rsid w:val="009F505C"/>
    <w:rsid w:val="009F6ECC"/>
    <w:rsid w:val="00A52310"/>
    <w:rsid w:val="00B042E3"/>
    <w:rsid w:val="00B11E82"/>
    <w:rsid w:val="00B30C78"/>
    <w:rsid w:val="00B41D1A"/>
    <w:rsid w:val="00BF3A9D"/>
    <w:rsid w:val="00CA23DB"/>
    <w:rsid w:val="00CC1805"/>
    <w:rsid w:val="00D16646"/>
    <w:rsid w:val="00D36EC1"/>
    <w:rsid w:val="00D42FAC"/>
    <w:rsid w:val="00D46250"/>
    <w:rsid w:val="00D7459F"/>
    <w:rsid w:val="00D94A6B"/>
    <w:rsid w:val="00DF5954"/>
    <w:rsid w:val="00E15F28"/>
    <w:rsid w:val="00E51413"/>
    <w:rsid w:val="00EF67D5"/>
    <w:rsid w:val="00F212FB"/>
    <w:rsid w:val="00FA25D1"/>
    <w:rsid w:val="00FB47A4"/>
    <w:rsid w:val="01DE318D"/>
    <w:rsid w:val="0BBE02E4"/>
    <w:rsid w:val="0EFFF08B"/>
    <w:rsid w:val="1556FFE7"/>
    <w:rsid w:val="18D43265"/>
    <w:rsid w:val="1E2F585A"/>
    <w:rsid w:val="1EB61656"/>
    <w:rsid w:val="1EBE6D8A"/>
    <w:rsid w:val="1FB9016F"/>
    <w:rsid w:val="1FE6D21C"/>
    <w:rsid w:val="23735A5C"/>
    <w:rsid w:val="2CAC3307"/>
    <w:rsid w:val="2F7EA178"/>
    <w:rsid w:val="2FF31CCC"/>
    <w:rsid w:val="33BF5DDC"/>
    <w:rsid w:val="37BFBFEE"/>
    <w:rsid w:val="37FD2E23"/>
    <w:rsid w:val="37FF18B9"/>
    <w:rsid w:val="391600C8"/>
    <w:rsid w:val="3AEE7FDD"/>
    <w:rsid w:val="3B1D5808"/>
    <w:rsid w:val="3BFE8EC0"/>
    <w:rsid w:val="3D3B750B"/>
    <w:rsid w:val="3DFB85D7"/>
    <w:rsid w:val="3DFFFEEB"/>
    <w:rsid w:val="3E578A4D"/>
    <w:rsid w:val="3E7746F2"/>
    <w:rsid w:val="3EAFE38B"/>
    <w:rsid w:val="3EFB023F"/>
    <w:rsid w:val="3F5B7215"/>
    <w:rsid w:val="3F6FC1FB"/>
    <w:rsid w:val="3F730350"/>
    <w:rsid w:val="3F76647A"/>
    <w:rsid w:val="3FBA30DB"/>
    <w:rsid w:val="3FBFE16E"/>
    <w:rsid w:val="3FF7F9C0"/>
    <w:rsid w:val="3FFBC816"/>
    <w:rsid w:val="48D44964"/>
    <w:rsid w:val="4A4B774E"/>
    <w:rsid w:val="4CD68066"/>
    <w:rsid w:val="4E67CE40"/>
    <w:rsid w:val="4F6D150F"/>
    <w:rsid w:val="4FEE37C7"/>
    <w:rsid w:val="517E78AA"/>
    <w:rsid w:val="53DF3E7F"/>
    <w:rsid w:val="545DF6FA"/>
    <w:rsid w:val="55DE48F6"/>
    <w:rsid w:val="57ADBE82"/>
    <w:rsid w:val="57E332DD"/>
    <w:rsid w:val="57E9CD93"/>
    <w:rsid w:val="57EB425A"/>
    <w:rsid w:val="596AEB91"/>
    <w:rsid w:val="59D7A30C"/>
    <w:rsid w:val="5BEE7D82"/>
    <w:rsid w:val="5BFC36A8"/>
    <w:rsid w:val="5F5F35ED"/>
    <w:rsid w:val="5FB4B9F0"/>
    <w:rsid w:val="5FD532B6"/>
    <w:rsid w:val="5FD56614"/>
    <w:rsid w:val="5FE95128"/>
    <w:rsid w:val="5FFFD6B5"/>
    <w:rsid w:val="650E6FFB"/>
    <w:rsid w:val="67BF653D"/>
    <w:rsid w:val="67FBD21B"/>
    <w:rsid w:val="69CDDFC6"/>
    <w:rsid w:val="6AFBD4E9"/>
    <w:rsid w:val="6B461CF0"/>
    <w:rsid w:val="6BFE087F"/>
    <w:rsid w:val="6BFF83C2"/>
    <w:rsid w:val="6C5F4E7D"/>
    <w:rsid w:val="6D3F2E98"/>
    <w:rsid w:val="6DFE07CC"/>
    <w:rsid w:val="6DFFB2B9"/>
    <w:rsid w:val="6ECB6C3E"/>
    <w:rsid w:val="6F3A9571"/>
    <w:rsid w:val="6FCDA027"/>
    <w:rsid w:val="6FDC8289"/>
    <w:rsid w:val="706743F9"/>
    <w:rsid w:val="71FF8133"/>
    <w:rsid w:val="729DB731"/>
    <w:rsid w:val="732F9AB6"/>
    <w:rsid w:val="73A5D6F8"/>
    <w:rsid w:val="74FD455A"/>
    <w:rsid w:val="75D907AF"/>
    <w:rsid w:val="763ED7FC"/>
    <w:rsid w:val="767FBCC8"/>
    <w:rsid w:val="76FE24ED"/>
    <w:rsid w:val="77773C62"/>
    <w:rsid w:val="777F4630"/>
    <w:rsid w:val="77DF7EB6"/>
    <w:rsid w:val="77FABEEF"/>
    <w:rsid w:val="78F52093"/>
    <w:rsid w:val="797F48DA"/>
    <w:rsid w:val="79CFCA19"/>
    <w:rsid w:val="7AEC944A"/>
    <w:rsid w:val="7B2E7344"/>
    <w:rsid w:val="7B503CA9"/>
    <w:rsid w:val="7B5B4466"/>
    <w:rsid w:val="7B8DB0E0"/>
    <w:rsid w:val="7BD7C5D4"/>
    <w:rsid w:val="7BDE2E6D"/>
    <w:rsid w:val="7BFAEA32"/>
    <w:rsid w:val="7C201CA7"/>
    <w:rsid w:val="7C9BB5BA"/>
    <w:rsid w:val="7D3BD9B4"/>
    <w:rsid w:val="7D629DCE"/>
    <w:rsid w:val="7D7E1C9B"/>
    <w:rsid w:val="7DAF9F6F"/>
    <w:rsid w:val="7DDF7761"/>
    <w:rsid w:val="7DF72F40"/>
    <w:rsid w:val="7DFBA975"/>
    <w:rsid w:val="7E7F7957"/>
    <w:rsid w:val="7EBE6155"/>
    <w:rsid w:val="7F3BE6B0"/>
    <w:rsid w:val="7F3F94D5"/>
    <w:rsid w:val="7F3FC408"/>
    <w:rsid w:val="7F3FF262"/>
    <w:rsid w:val="7F7AD461"/>
    <w:rsid w:val="7F9BB94C"/>
    <w:rsid w:val="7FB5D6F6"/>
    <w:rsid w:val="7FCD88E5"/>
    <w:rsid w:val="7FE2A0EF"/>
    <w:rsid w:val="7FF59EC3"/>
    <w:rsid w:val="7FF9E7AB"/>
    <w:rsid w:val="7FFA4ACA"/>
    <w:rsid w:val="7FFFFE22"/>
    <w:rsid w:val="97EF9245"/>
    <w:rsid w:val="9B6FD390"/>
    <w:rsid w:val="9BFF5F19"/>
    <w:rsid w:val="9FEBAB83"/>
    <w:rsid w:val="9FF55FF2"/>
    <w:rsid w:val="9FFDCF93"/>
    <w:rsid w:val="ADDB0121"/>
    <w:rsid w:val="AF738C62"/>
    <w:rsid w:val="AF77E555"/>
    <w:rsid w:val="AFFE8D53"/>
    <w:rsid w:val="AFFEB70B"/>
    <w:rsid w:val="AFFFF77B"/>
    <w:rsid w:val="B39883F1"/>
    <w:rsid w:val="B3FEB972"/>
    <w:rsid w:val="B5DAA59F"/>
    <w:rsid w:val="B6E956E9"/>
    <w:rsid w:val="B6FFE3F9"/>
    <w:rsid w:val="B77D36FD"/>
    <w:rsid w:val="B9C511BB"/>
    <w:rsid w:val="B9E3AE77"/>
    <w:rsid w:val="B9FF9DD8"/>
    <w:rsid w:val="BA8DB816"/>
    <w:rsid w:val="BB7F4D3C"/>
    <w:rsid w:val="BBAFC879"/>
    <w:rsid w:val="BBFDC091"/>
    <w:rsid w:val="BC3FB194"/>
    <w:rsid w:val="BC93032D"/>
    <w:rsid w:val="BCDC4AFD"/>
    <w:rsid w:val="BDFF4B09"/>
    <w:rsid w:val="BEEF0D30"/>
    <w:rsid w:val="BEFF6650"/>
    <w:rsid w:val="BF7B23E6"/>
    <w:rsid w:val="BFBFE194"/>
    <w:rsid w:val="BFCFAEF2"/>
    <w:rsid w:val="BFDD01AC"/>
    <w:rsid w:val="BFEF3728"/>
    <w:rsid w:val="BFEF4CA0"/>
    <w:rsid w:val="BFFB7EB6"/>
    <w:rsid w:val="BFFEAB08"/>
    <w:rsid w:val="C2FFBE2F"/>
    <w:rsid w:val="CBBEBAC1"/>
    <w:rsid w:val="CDED7A5A"/>
    <w:rsid w:val="CDFD2304"/>
    <w:rsid w:val="CEFE275B"/>
    <w:rsid w:val="CF0B42D0"/>
    <w:rsid w:val="CF9E952C"/>
    <w:rsid w:val="D2EF087E"/>
    <w:rsid w:val="D3F5DBB9"/>
    <w:rsid w:val="D47DE06C"/>
    <w:rsid w:val="D6FB18F9"/>
    <w:rsid w:val="DA9ADC14"/>
    <w:rsid w:val="DC776690"/>
    <w:rsid w:val="DC7B698E"/>
    <w:rsid w:val="DCBE10CA"/>
    <w:rsid w:val="DDBB17FD"/>
    <w:rsid w:val="DDBC4266"/>
    <w:rsid w:val="DDCB6A4D"/>
    <w:rsid w:val="DEE7D467"/>
    <w:rsid w:val="DEFB073E"/>
    <w:rsid w:val="DEFE8523"/>
    <w:rsid w:val="DF5F95EA"/>
    <w:rsid w:val="DF97CC56"/>
    <w:rsid w:val="DF9E774E"/>
    <w:rsid w:val="E6C74982"/>
    <w:rsid w:val="E732351F"/>
    <w:rsid w:val="E7D3D047"/>
    <w:rsid w:val="E8FF6CA0"/>
    <w:rsid w:val="EB6F6027"/>
    <w:rsid w:val="EBBD09D3"/>
    <w:rsid w:val="ECBFB19E"/>
    <w:rsid w:val="EF3D4EF9"/>
    <w:rsid w:val="EF7778AA"/>
    <w:rsid w:val="EFDB4341"/>
    <w:rsid w:val="EFDB7C9A"/>
    <w:rsid w:val="EFE93D0B"/>
    <w:rsid w:val="EFEF30CE"/>
    <w:rsid w:val="EFFD6B90"/>
    <w:rsid w:val="EFFF9813"/>
    <w:rsid w:val="F279611C"/>
    <w:rsid w:val="F3F77884"/>
    <w:rsid w:val="F54BAC81"/>
    <w:rsid w:val="F57F86CD"/>
    <w:rsid w:val="F5FFC647"/>
    <w:rsid w:val="F6BB828E"/>
    <w:rsid w:val="F73FF6F5"/>
    <w:rsid w:val="F74FC207"/>
    <w:rsid w:val="F7BB185C"/>
    <w:rsid w:val="F7EBD5AB"/>
    <w:rsid w:val="F7EF626F"/>
    <w:rsid w:val="F7F6721E"/>
    <w:rsid w:val="F7F675EC"/>
    <w:rsid w:val="F85919AA"/>
    <w:rsid w:val="F8FB073F"/>
    <w:rsid w:val="F9FEFD56"/>
    <w:rsid w:val="F9FF9E6D"/>
    <w:rsid w:val="FB753B34"/>
    <w:rsid w:val="FB8BF0E3"/>
    <w:rsid w:val="FBA5D970"/>
    <w:rsid w:val="FBCBCAF3"/>
    <w:rsid w:val="FBDAEB55"/>
    <w:rsid w:val="FBFCB7DB"/>
    <w:rsid w:val="FBFF8EB0"/>
    <w:rsid w:val="FBFFC487"/>
    <w:rsid w:val="FCFFB466"/>
    <w:rsid w:val="FD3EBDE3"/>
    <w:rsid w:val="FD77AC96"/>
    <w:rsid w:val="FD7B8383"/>
    <w:rsid w:val="FDBF964B"/>
    <w:rsid w:val="FDF746E5"/>
    <w:rsid w:val="FDF9C66B"/>
    <w:rsid w:val="FDFBB3BF"/>
    <w:rsid w:val="FEDFAC7C"/>
    <w:rsid w:val="FF37C4AF"/>
    <w:rsid w:val="FF3B22F4"/>
    <w:rsid w:val="FF6924AB"/>
    <w:rsid w:val="FF7EBEF1"/>
    <w:rsid w:val="FFAE5527"/>
    <w:rsid w:val="FFD77F58"/>
    <w:rsid w:val="FFDA8D4D"/>
    <w:rsid w:val="FFDF0294"/>
    <w:rsid w:val="FFE76197"/>
    <w:rsid w:val="FFEDE558"/>
    <w:rsid w:val="FFEFCFF3"/>
    <w:rsid w:val="FFF20AD4"/>
    <w:rsid w:val="FFF6E6ED"/>
    <w:rsid w:val="FFF70B16"/>
    <w:rsid w:val="FFFAE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roid Sans" w:hAnsi="Droid Sans" w:eastAsia="宋体" w:cs="Droid Sans"/>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qFormat/>
    <w:uiPriority w:val="0"/>
    <w:rPr>
      <w:rFonts w:eastAsia="楷体_GB2312"/>
      <w:sz w:val="32"/>
      <w:szCs w:val="20"/>
    </w:rPr>
  </w:style>
  <w:style w:type="paragraph" w:styleId="4">
    <w:name w:val="Balloon Text"/>
    <w:basedOn w:val="1"/>
    <w:link w:val="10"/>
    <w:qFormat/>
    <w:uiPriority w:val="0"/>
    <w:rPr>
      <w:sz w:val="18"/>
      <w:szCs w:val="18"/>
    </w:rPr>
  </w:style>
  <w:style w:type="paragraph" w:styleId="5">
    <w:name w:val="footer"/>
    <w:basedOn w:val="1"/>
    <w:link w:val="11"/>
    <w:qFormat/>
    <w:uiPriority w:val="99"/>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0"/>
  </w:style>
  <w:style w:type="character" w:customStyle="1" w:styleId="10">
    <w:name w:val="批注框文本 Char"/>
    <w:link w:val="4"/>
    <w:qFormat/>
    <w:uiPriority w:val="0"/>
    <w:rPr>
      <w:rFonts w:ascii="Times New Roman" w:hAnsi="Times New Roman"/>
      <w:kern w:val="2"/>
      <w:sz w:val="18"/>
      <w:szCs w:val="18"/>
    </w:rPr>
  </w:style>
  <w:style w:type="character" w:customStyle="1" w:styleId="11">
    <w:name w:val="页脚 Char"/>
    <w:link w:val="5"/>
    <w:qFormat/>
    <w:uiPriority w:val="99"/>
    <w:rPr>
      <w:rFonts w:ascii="Times New Roman" w:hAnsi="Times New Roman"/>
      <w:kern w:val="2"/>
      <w:sz w:val="18"/>
    </w:rPr>
  </w:style>
  <w:style w:type="character" w:customStyle="1" w:styleId="12">
    <w:name w:val="页眉 Char"/>
    <w:link w:val="6"/>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收入预算</c:v>
                </c:pt>
              </c:strCache>
            </c:strRef>
          </c:tx>
          <c:explosion val="0"/>
          <c:dPt>
            <c:idx val="0"/>
            <c:bubble3D val="false"/>
          </c:dPt>
          <c:dPt>
            <c:idx val="1"/>
            <c:bubble3D val="false"/>
          </c:dPt>
          <c:dPt>
            <c:idx val="2"/>
            <c:bubble3D val="false"/>
          </c:dPt>
          <c:dPt>
            <c:idx val="3"/>
            <c:bubble3D val="false"/>
          </c:dPt>
          <c:dPt>
            <c:idx val="4"/>
            <c:bubble3D val="false"/>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rPr lang="en-US" altLang="zh-CN"/>
                      <a:t>49.65</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2</a:t>
                    </a:r>
                    <a:r>
                      <a:rPr lang="en-US" altLang="zh-CN"/>
                      <a:t>7.86</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2"/>
              <c:layout>
                <c:manualLayout>
                  <c:x val="0.0591000522058111"/>
                  <c:y val="0.0280807639063493"/>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4</a:t>
                    </a:r>
                    <a:r>
                      <a:rPr lang="en-US" altLang="zh-CN"/>
                      <a:t>.30</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3"/>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0</a:t>
                    </a:r>
                    <a:r>
                      <a:rPr lang="en-US" altLang="zh-CN"/>
                      <a:t>.03</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4"/>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18</a:t>
                    </a:r>
                    <a:r>
                      <a:rPr lang="en-US" altLang="zh-CN"/>
                      <a:t>.16</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Sheet1!$A$2:$A$6</c:f>
              <c:strCache>
                <c:ptCount val="5"/>
                <c:pt idx="0">
                  <c:v>一般公共预算拨款收入</c:v>
                </c:pt>
                <c:pt idx="1">
                  <c:v>财政专户管理资金收入</c:v>
                </c:pt>
                <c:pt idx="2">
                  <c:v>事业单位经营收入</c:v>
                </c:pt>
                <c:pt idx="3">
                  <c:v>其他收入</c:v>
                </c:pt>
                <c:pt idx="4">
                  <c:v>上年结转结余</c:v>
                </c:pt>
              </c:strCache>
            </c:strRef>
          </c:cat>
          <c:val>
            <c:numRef>
              <c:f>Sheet1!$B$2:$B$6</c:f>
              <c:numCache>
                <c:formatCode>General</c:formatCode>
                <c:ptCount val="5"/>
                <c:pt idx="0">
                  <c:v>14156.62</c:v>
                </c:pt>
                <c:pt idx="1">
                  <c:v>7944.29</c:v>
                </c:pt>
                <c:pt idx="2">
                  <c:v>1224.74</c:v>
                </c:pt>
                <c:pt idx="3">
                  <c:v>8</c:v>
                </c:pt>
                <c:pt idx="4">
                  <c:v>5178.74</c:v>
                </c:pt>
              </c:numCache>
            </c:numRef>
          </c:val>
        </c:ser>
        <c:dLbls>
          <c:showLegendKey val="false"/>
          <c:showVal val="false"/>
          <c:showCatName val="false"/>
          <c:showSerName val="false"/>
          <c:showPercent val="tru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98618336501041"/>
          <c:y val="0.186143682504083"/>
          <c:w val="0.876094307177121"/>
          <c:h val="0.642089986429715"/>
        </c:manualLayout>
      </c:layout>
      <c:pieChart>
        <c:varyColors val="true"/>
        <c:ser>
          <c:idx val="0"/>
          <c:order val="0"/>
          <c:tx>
            <c:strRef>
              <c:f>Sheet1!$B$1</c:f>
              <c:strCache>
                <c:ptCount val="1"/>
                <c:pt idx="0">
                  <c:v>支出总表</c:v>
                </c:pt>
              </c:strCache>
            </c:strRef>
          </c:tx>
          <c:explosion val="0"/>
          <c:dPt>
            <c:idx val="0"/>
            <c:bubble3D val="false"/>
          </c:dPt>
          <c:dPt>
            <c:idx val="1"/>
            <c:bubble3D val="false"/>
          </c:dPt>
          <c:dLbls>
            <c:dLbl>
              <c:idx val="0"/>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9</a:t>
                    </a:r>
                    <a:r>
                      <a:rPr lang="en-US" altLang="zh-CN"/>
                      <a:t>3.67</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extLst>
            </c:dLbl>
            <c:dLbl>
              <c:idx val="1"/>
              <c:layout>
                <c:manualLayout>
                  <c:x val="0.00638805300040293"/>
                  <c:y val="0.0546917973841341"/>
                </c:manualLayout>
              </c:layout>
              <c:tx>
                <c:rich>
                  <a:bodyPr rot="0" spcFirstLastPara="0" vertOverflow="ellipsis" vert="horz" wrap="square" lIns="38100" tIns="19050" rIns="38100" bIns="19050" anchor="ctr" anchorCtr="true"/>
                  <a:lstStyle/>
                  <a:p>
                    <a:pPr defTabSz="914400">
                      <a:defRPr lang="zh-CN" sz="1000" b="0" i="0" u="none" strike="noStrike" kern="1200" baseline="0">
                        <a:solidFill>
                          <a:schemeClr val="tx1"/>
                        </a:solidFill>
                        <a:latin typeface="+mn-lt"/>
                        <a:ea typeface="+mn-ea"/>
                        <a:cs typeface="+mn-cs"/>
                      </a:defRPr>
                    </a:pPr>
                    <a:r>
                      <a:t>6</a:t>
                    </a:r>
                    <a:r>
                      <a:rPr lang="en-US" altLang="zh-CN"/>
                      <a:t>.33</a:t>
                    </a:r>
                    <a:r>
                      <a:t>%</a:t>
                    </a:r>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ext>
            </c:extLst>
          </c:dLbls>
          <c:cat>
            <c:strRef>
              <c:f>Sheet1!$A$2:$A$3</c:f>
              <c:strCache>
                <c:ptCount val="2"/>
                <c:pt idx="0">
                  <c:v>基本支出</c:v>
                </c:pt>
                <c:pt idx="1">
                  <c:v>项目支出</c:v>
                </c:pt>
              </c:strCache>
            </c:strRef>
          </c:cat>
          <c:val>
            <c:numRef>
              <c:f>Sheet1!$B$2:$B$3</c:f>
              <c:numCache>
                <c:formatCode>General</c:formatCode>
                <c:ptCount val="2"/>
                <c:pt idx="0">
                  <c:v>24833.66</c:v>
                </c:pt>
                <c:pt idx="1">
                  <c:v>1678.73</c:v>
                </c:pt>
              </c:numCache>
            </c:numRef>
          </c:val>
        </c:ser>
        <c:dLbls>
          <c:showLegendKey val="false"/>
          <c:showVal val="false"/>
          <c:showCatName val="false"/>
          <c:showSerName val="false"/>
          <c:showPercent val="true"/>
          <c:showBubbleSize val="false"/>
          <c:showLeaderLines val="true"/>
        </c:dLbls>
        <c:firstSliceAng val="0"/>
      </c:pieChart>
    </c:plotArea>
    <c:legend>
      <c:legendPos val="t"/>
      <c:layout>
        <c:manualLayout>
          <c:xMode val="edge"/>
          <c:yMode val="edge"/>
          <c:x val="0.357497189205792"/>
          <c:y val="0.92218782249742"/>
          <c:w val="0.281293691736809"/>
          <c:h val="0.0746456692913386"/>
        </c:manualLayout>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zero"/>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9</Pages>
  <Words>2240</Words>
  <Characters>2593</Characters>
  <Lines>19</Lines>
  <Paragraphs>5</Paragraphs>
  <TotalTime>8</TotalTime>
  <ScaleCrop>false</ScaleCrop>
  <LinksUpToDate>false</LinksUpToDate>
  <CharactersWithSpaces>2638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2024-03-07T11:38:00Z</dcterms:created>
  <dc:creator>马荣丽</dc:creator>
  <cp:lastModifiedBy>uos</cp:lastModifiedBy>
  <cp:lastPrinted>2024-03-04T16:19:00Z</cp:lastPrinted>
  <dcterms:modified xsi:type="dcterms:W3CDTF">2024-03-11T15:18:31Z</dcterms:modified>
  <dc:title>处领导：</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90053D5E6E7045618565B48511AC40DA_13</vt:lpwstr>
  </property>
</Properties>
</file>