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rPr>
          <w:rFonts w:ascii="仿宋_GB2312" w:hAnsi="Times New Roman" w:eastAsia="仿宋_GB2312" w:cs="Droid Sans"/>
          <w:b w:val="0"/>
          <w:bCs w:val="0"/>
          <w:color w:val="1F3864"/>
          <w:kern w:val="2"/>
          <w:sz w:val="24"/>
          <w:szCs w:val="24"/>
        </w:rPr>
      </w:pP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北京联合大学单位2024年度单位预算信息公开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pStyle w:val="2"/>
        <w:rPr>
          <w:rFonts w:ascii="方正小标宋简体" w:eastAsia="方正小标宋简体"/>
          <w:color w:val="000000"/>
          <w:szCs w:val="36"/>
        </w:rPr>
      </w:pPr>
    </w:p>
    <w:p>
      <w:pPr>
        <w:rPr>
          <w:rFonts w:ascii="方正小标宋简体" w:eastAsia="方正小标宋简体"/>
          <w:color w:val="000000"/>
          <w:sz w:val="36"/>
          <w:szCs w:val="36"/>
        </w:rPr>
      </w:pPr>
    </w:p>
    <w:p>
      <w:pPr>
        <w:pStyle w:val="2"/>
        <w:rPr>
          <w:rFonts w:ascii="方正小标宋简体" w:eastAsia="方正小标宋简体"/>
          <w:color w:val="000000"/>
          <w:szCs w:val="36"/>
        </w:rPr>
      </w:pPr>
    </w:p>
    <w:p/>
    <w:p>
      <w:pPr>
        <w:spacing w:line="560" w:lineRule="exact"/>
        <w:jc w:val="center"/>
        <w:rPr>
          <w:rFonts w:ascii="方正小标宋简体" w:eastAsia="方正小标宋简体"/>
          <w:color w:val="000000"/>
          <w:sz w:val="36"/>
          <w:szCs w:val="36"/>
        </w:rPr>
      </w:pPr>
    </w:p>
    <w:p>
      <w:pPr>
        <w:spacing w:line="560" w:lineRule="exact"/>
        <w:rPr>
          <w:rFonts w:ascii="方正小标宋简体" w:eastAsia="方正小标宋简体"/>
          <w:color w:val="000000"/>
          <w:sz w:val="36"/>
          <w:szCs w:val="36"/>
        </w:rPr>
      </w:pPr>
    </w:p>
    <w:p>
      <w:pPr>
        <w:spacing w:line="560" w:lineRule="exact"/>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60" w:lineRule="exact"/>
        <w:ind w:firstLine="640" w:firstLineChars="200"/>
        <w:rPr>
          <w:rFonts w:ascii="仿宋_GB2312" w:eastAsia="仿宋_GB2312"/>
          <w:sz w:val="32"/>
          <w:szCs w:val="32"/>
        </w:rPr>
      </w:pPr>
      <w:r>
        <w:rPr>
          <w:rFonts w:hint="eastAsia" w:ascii="仿宋_GB2312" w:eastAsia="仿宋_GB2312"/>
          <w:color w:val="000000"/>
          <w:sz w:val="32"/>
          <w:szCs w:val="32"/>
        </w:rPr>
        <w:t>北京联合大学为公益二类事业单位。主要职责为：培养高等学历人才、促进科技文化发展。工科类、管理学类、文学类学科大专、本科学历教育；相关科学研究，相关继续教育，相关专业培训，相关学术交流。</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校设置校党政管理机构18个，分别为：党委办公室（校长办公室、党委巡察工作办公室）、党委研究室、党委组织部（党委统战部、党校）、党委宣传部（网络安全和信息化办公室、党委教师工作部、融媒体中心）、纪检监察办公室、党委学生工作部（学生处、党委人民武装部）、离退休人员党委（离退休人员工作处）、党委保卫部（保卫处）、教务处、科学技术处、研究生处、人事处、财务处、审计处、国有资产管理处、国际交流合作处（港澳台事务办公室）、对外合作服务处、教育质量监控与评估办公室。</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校党群团组织及社会团体4个，分别为：工会、团委、机关党委、直属单位党委。</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直属单位14个，分别为：数理部、外语部、体育教学部、工科综合实验教学示范中心、图书馆、信息网络中心（数字化建设办公室）、学报编辑部、档案（校史）馆、校医院、后勤基建管理服务中心、教师教学发展中心、经营性资产管理办公室（北京科兴企业管理有限公司）、人民代表大会制度研究所（北京政治文明建设研究基地）、台湾研究院（京台文化交流研究中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学院14个，分别为：应用文理学院、师范学院、商务学院、生物化学工程学院、旅游学院、继续教育学院（培训中心）、智慧城市学院、机器人学院、城市轨道交通与物流学院（俄交大联合交通学院）、管理学院、特殊教育学院、艺术学院（北京非物质文化遗产学院）、应用科技学院、马克思主义学院。</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北京联合大学行政编制0人，实际0人；事业编制3199人，实际2556人。离退休人员3365人，其中：离休37人，退休3328人。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eastAsia="黑体"/>
          <w:sz w:val="32"/>
          <w:szCs w:val="32"/>
        </w:rPr>
      </w:pPr>
      <w:r>
        <w:rPr>
          <w:rFonts w:hint="eastAsia" w:ascii="黑体" w:eastAsia="黑体"/>
          <w:sz w:val="32"/>
          <w:szCs w:val="32"/>
        </w:rPr>
        <w:t>二、收入预算情况说明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收入预算203595.63万元，比2023年年初预算数169174.00万元增加34421.63万元，增长20.35%。主要原因是按照全口径预算管理要求，为进一步加强非财政拨款资金管理，北京联合大学将所有非财政拨款资金全部纳入年度预算管理。</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（一）本年财政拨款收入138542.63万元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1.一般公共预算拨款收入138542.63万元。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（二）本年其他资金收入42111.56万元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4.财政专户管理资金收入12678.12万元。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5.事业收入26557.44万元。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7.附属单位上缴收入100.00万元。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8.事业单位经营收入50.00万元。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9.其他收入2726.00万元。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（三）上年结转结余22941.44万元</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10.上年结转结余22941.44万元。</w:t>
      </w:r>
    </w:p>
    <w:p>
      <w:pPr>
        <w:pStyle w:val="2"/>
      </w:pPr>
      <w:bookmarkStart w:id="0" w:name="_GoBack"/>
      <w:bookmarkEnd w:id="0"/>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rPr>
      </w:pPr>
      <w:r>
        <w:rPr>
          <w:rFonts w:hint="eastAsia" w:ascii="仿宋_GB2312" w:eastAsia="仿宋_GB2312"/>
          <w:sz w:val="32"/>
        </w:rPr>
        <w:t>图1：收入预算</w:t>
      </w:r>
    </w:p>
    <w:p>
      <w:pPr>
        <w:rPr>
          <w:rFonts w:ascii="仿宋_GB2312" w:eastAsia="仿宋_GB2312"/>
          <w:color w:val="1F3864"/>
          <w:sz w:val="24"/>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2024年支出预算203595.63万元，比2023年年初预算数169174.00万元增加34421.63万元，增长20.35%。主要原因是按照全口径预算管理要求，将跨年度使用的非财政拨款项目经费纳入预算管理。</w:t>
      </w:r>
    </w:p>
    <w:p>
      <w:pPr>
        <w:numPr>
          <w:ilvl w:val="0"/>
          <w:numId w:val="1"/>
        </w:num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基本支出。</w:t>
      </w:r>
      <w:r>
        <w:rPr>
          <w:rFonts w:hint="eastAsia" w:ascii="仿宋_GB2312" w:eastAsia="仿宋_GB2312"/>
          <w:sz w:val="32"/>
          <w:szCs w:val="32"/>
        </w:rPr>
        <w:t>基本支出预算180821.64万元，占总支出预算95.17%，比2023年年初预算数160598.01万元增加20223.63万元，增长12.59%。</w:t>
      </w:r>
    </w:p>
    <w:p>
      <w:pPr>
        <w:spacing w:line="560" w:lineRule="exact"/>
        <w:ind w:firstLine="640" w:firstLineChars="20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项目支出预算9173.99万元，比2023年年初预算数8575.98万元增加598.01万元，增长6.97%。其中：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pPr>
        <w:pStyle w:val="2"/>
        <w:ind w:firstLine="642"/>
        <w:jc w:val="center"/>
      </w:pPr>
      <w:r>
        <w:drawing>
          <wp:inline distT="0" distB="0" distL="114300" distR="114300">
            <wp:extent cx="4143375" cy="2657475"/>
            <wp:effectExtent l="0" t="0" r="952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4143375" cy="2657475"/>
                    </a:xfrm>
                    <a:prstGeom prst="rect">
                      <a:avLst/>
                    </a:prstGeom>
                    <a:noFill/>
                    <a:ln>
                      <a:noFill/>
                    </a:ln>
                  </pic:spPr>
                </pic:pic>
              </a:graphicData>
            </a:graphic>
          </wp:inline>
        </w:drawing>
      </w:r>
    </w:p>
    <w:p>
      <w:pPr>
        <w:pStyle w:val="2"/>
        <w:ind w:firstLine="642"/>
        <w:jc w:val="center"/>
      </w:pPr>
      <w:r>
        <w:rPr>
          <w:rFonts w:hint="eastAsia" w:ascii="仿宋_GB2312" w:eastAsia="仿宋_GB2312"/>
          <w:sz w:val="32"/>
        </w:rPr>
        <w:t>图2：基本支出和项目支出情况</w:t>
      </w:r>
    </w:p>
    <w:p>
      <w:pPr>
        <w:numPr>
          <w:ilvl w:val="0"/>
          <w:numId w:val="2"/>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年终结转结余资金13600.00万元 </w:t>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北京联合大学因公出国（境）费用、公务接待费、公务用车购置和运行维护费开支单位包括1个所属单位。其他所属单位2024年无财政拨款安排的“三公”经费预算。</w:t>
      </w:r>
    </w:p>
    <w:p>
      <w:pPr>
        <w:numPr>
          <w:ilvl w:val="0"/>
          <w:numId w:val="1"/>
        </w:numPr>
        <w:spacing w:line="560" w:lineRule="exact"/>
        <w:ind w:firstLine="640"/>
        <w:rPr>
          <w:rFonts w:ascii="楷体_GB2312" w:eastAsia="楷体_GB2312"/>
          <w:sz w:val="32"/>
          <w:szCs w:val="32"/>
        </w:rPr>
      </w:pPr>
      <w:r>
        <w:rPr>
          <w:rFonts w:hint="eastAsia" w:ascii="楷体_GB2312" w:eastAsia="楷体_GB2312"/>
          <w:sz w:val="32"/>
          <w:szCs w:val="32"/>
        </w:rPr>
        <w:t>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2024年财政拨款“三公”经费预算136.03万元，比2023年财政拨款“三公”经费预算减少27.21万元。其中：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1.因公出国（境）费用。2024年预算数56.05万元，与2023年持平。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2.公务接待费。2024年预算数0万元，与2023年持平。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2024年预算数79.98万元，包括：公务用车购置费2024年预算数17.98万元，比2023年年初预算数45.19元减少27.21万元，主要原因：厉行勤俭节约，严格控制公务用车更新；公务用车运行维护费2024年预算数62.00万元，其中：公务用车燃油20.00万元，公务用车维修10.00万元，公务用车保险7.00万元，其他支出25.00万元。公务用车运行维护费2024年预算数与2023年持平。</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2024年北京联合大学政府采购预算总额20810.81万元，其中：政府采购货物预算6462.41万元，政府采购工程预算2365.39万元，政府采购服务预算11983.01万元。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2024年北京联合大学政府购买服务预算总额0万元。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ind w:firstLine="640" w:firstLineChars="200"/>
      </w:pPr>
      <w:r>
        <w:rPr>
          <w:rFonts w:hint="eastAsia" w:ascii="仿宋_GB2312" w:eastAsia="仿宋_GB2312"/>
          <w:sz w:val="32"/>
          <w:szCs w:val="32"/>
        </w:rPr>
        <w:t>我单位不在机关运行经费统计范围之内。</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ind w:firstLine="640" w:firstLineChars="200"/>
        <w:rPr>
          <w:rFonts w:ascii="仿宋_GB2312" w:eastAsia="仿宋_GB2312"/>
          <w:color w:val="1F3864"/>
          <w:sz w:val="24"/>
        </w:rPr>
      </w:pPr>
      <w:r>
        <w:rPr>
          <w:rFonts w:hint="eastAsia" w:ascii="仿宋_GB2312" w:eastAsia="仿宋_GB2312"/>
          <w:sz w:val="32"/>
          <w:szCs w:val="32"/>
        </w:rPr>
        <w:t>2024年，北京联合大学填报绩效目标的预算项目21个，占本单位本年预算项目21个的100%。填报绩效目标的项目支出预算7832.55万元，占本单位本年项目支出预算的100%。</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ind w:firstLine="640" w:firstLineChars="200"/>
        <w:rPr>
          <w:rFonts w:ascii="仿宋_GB2312" w:eastAsia="仿宋_GB2312"/>
          <w:color w:val="1F3864"/>
          <w:sz w:val="24"/>
        </w:rPr>
      </w:pPr>
      <w:r>
        <w:rPr>
          <w:rFonts w:hint="eastAsia" w:ascii="仿宋_GB2312" w:eastAsia="仿宋_GB2312"/>
          <w:sz w:val="32"/>
          <w:szCs w:val="32"/>
        </w:rPr>
        <w:t>本单位2024年无重点行政事业性收费。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ind w:firstLine="640" w:firstLineChars="200"/>
        <w:rPr>
          <w:rFonts w:ascii="仿宋_GB2312" w:eastAsia="仿宋_GB2312"/>
          <w:color w:val="1F3864"/>
          <w:sz w:val="24"/>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截至2023年底，北京联合大学共有车辆108台，共计3062</w:t>
      </w:r>
      <w:r>
        <w:rPr>
          <w:rFonts w:ascii="仿宋_GB2312" w:eastAsia="仿宋_GB2312"/>
          <w:color w:val="000000"/>
          <w:sz w:val="32"/>
          <w:szCs w:val="32"/>
        </w:rPr>
        <w:t>.</w:t>
      </w:r>
      <w:r>
        <w:rPr>
          <w:rFonts w:hint="eastAsia" w:ascii="仿宋_GB2312" w:eastAsia="仿宋_GB2312"/>
          <w:color w:val="000000"/>
          <w:sz w:val="32"/>
          <w:szCs w:val="32"/>
        </w:rPr>
        <w:t>16万元；单位价值50万元以上的设备189台（套）、共计19659</w:t>
      </w:r>
      <w:r>
        <w:rPr>
          <w:rFonts w:ascii="仿宋_GB2312" w:eastAsia="仿宋_GB2312"/>
          <w:color w:val="000000"/>
          <w:sz w:val="32"/>
          <w:szCs w:val="32"/>
        </w:rPr>
        <w:t>.</w:t>
      </w:r>
      <w:r>
        <w:rPr>
          <w:rFonts w:hint="eastAsia" w:ascii="仿宋_GB2312" w:eastAsia="仿宋_GB2312"/>
          <w:color w:val="000000"/>
          <w:sz w:val="32"/>
          <w:szCs w:val="32"/>
        </w:rPr>
        <w:t>0</w:t>
      </w:r>
      <w:r>
        <w:rPr>
          <w:rFonts w:ascii="仿宋_GB2312" w:eastAsia="仿宋_GB2312"/>
          <w:color w:val="000000"/>
          <w:sz w:val="32"/>
          <w:szCs w:val="32"/>
        </w:rPr>
        <w:t>6</w:t>
      </w:r>
      <w:r>
        <w:rPr>
          <w:rFonts w:hint="eastAsia" w:ascii="仿宋_GB2312" w:eastAsia="仿宋_GB2312"/>
          <w:color w:val="000000"/>
          <w:sz w:val="32"/>
          <w:szCs w:val="32"/>
        </w:rPr>
        <w:t>万元。2024年预算安排中，购置单位价值50万元以上的设备8台（套），共计6112.61万元。</w:t>
      </w:r>
    </w:p>
    <w:p>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pStyle w:val="2"/>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附件：北京联合大学2024年度单位预算报表</w:t>
      </w:r>
      <w:r>
        <w:rPr>
          <w:rFonts w:hint="eastAsia" w:ascii="仿宋_GB2312" w:eastAsia="仿宋_GB2312" w:cs="宋体"/>
          <w:color w:val="000000"/>
          <w:kern w:val="0"/>
          <w:sz w:val="32"/>
          <w:szCs w:val="32"/>
          <w:lang w:val="zh-CN"/>
        </w:rPr>
        <w:t xml:space="preserve"> </w:t>
      </w:r>
    </w:p>
    <w:p>
      <w:pPr>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1FEEsEBAACN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MnINCLfHhIVLPxl1hJqK4ZQKo2mj8hr8eS9Zj3/R9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R1FEEsEBAACNAwAADgAAAAAAAAABACAAAAAeAQAAZHJzL2Uyb0RvYy54bWxQSwUG&#10;AAAAAAYABgBZAQAAUQ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680677"/>
    <w:multiLevelType w:val="singleLevel"/>
    <w:tmpl w:val="FC680677"/>
    <w:lvl w:ilvl="0" w:tentative="0">
      <w:start w:val="1"/>
      <w:numFmt w:val="chineseCounting"/>
      <w:suff w:val="nothing"/>
      <w:lvlText w:val="（%1）"/>
      <w:lvlJc w:val="left"/>
      <w:rPr>
        <w:rFonts w:hint="eastAsia"/>
      </w:rPr>
    </w:lvl>
  </w:abstractNum>
  <w:abstractNum w:abstractNumId="1">
    <w:nsid w:val="FF2E9D19"/>
    <w:multiLevelType w:val="singleLevel"/>
    <w:tmpl w:val="FF2E9D1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iMTZlOTc3YjM1NzQxMDgyOTgyZWVmMmE1Y2IyZTgifQ=="/>
  </w:docVars>
  <w:rsids>
    <w:rsidRoot w:val="00797F79"/>
    <w:rsid w:val="00097DC6"/>
    <w:rsid w:val="000B36F0"/>
    <w:rsid w:val="001801A2"/>
    <w:rsid w:val="001B632B"/>
    <w:rsid w:val="001E0067"/>
    <w:rsid w:val="00261CB4"/>
    <w:rsid w:val="0032325C"/>
    <w:rsid w:val="003341F2"/>
    <w:rsid w:val="0038605F"/>
    <w:rsid w:val="004A4AD1"/>
    <w:rsid w:val="004E4558"/>
    <w:rsid w:val="00683AF9"/>
    <w:rsid w:val="006D5291"/>
    <w:rsid w:val="006F3CD8"/>
    <w:rsid w:val="00755A2F"/>
    <w:rsid w:val="00797F79"/>
    <w:rsid w:val="00802FAF"/>
    <w:rsid w:val="008A2E8D"/>
    <w:rsid w:val="008E2D04"/>
    <w:rsid w:val="00973574"/>
    <w:rsid w:val="009B16A8"/>
    <w:rsid w:val="009F505C"/>
    <w:rsid w:val="009F6ECC"/>
    <w:rsid w:val="00AD38E9"/>
    <w:rsid w:val="00B042E3"/>
    <w:rsid w:val="00D7459F"/>
    <w:rsid w:val="00DA40FB"/>
    <w:rsid w:val="00E51413"/>
    <w:rsid w:val="00ED7EC1"/>
    <w:rsid w:val="00F212FB"/>
    <w:rsid w:val="00F93D65"/>
    <w:rsid w:val="00FA25D1"/>
    <w:rsid w:val="00FA5576"/>
    <w:rsid w:val="01DE318D"/>
    <w:rsid w:val="03B12A4E"/>
    <w:rsid w:val="09631973"/>
    <w:rsid w:val="0EFFF08B"/>
    <w:rsid w:val="1556FFE7"/>
    <w:rsid w:val="1ACC23A2"/>
    <w:rsid w:val="1E2F585A"/>
    <w:rsid w:val="1FB9016F"/>
    <w:rsid w:val="1FE6D21C"/>
    <w:rsid w:val="22795239"/>
    <w:rsid w:val="23735A5C"/>
    <w:rsid w:val="254951A4"/>
    <w:rsid w:val="2C593259"/>
    <w:rsid w:val="2F7EA178"/>
    <w:rsid w:val="2FF31CCC"/>
    <w:rsid w:val="33BD156F"/>
    <w:rsid w:val="33BF5DDC"/>
    <w:rsid w:val="33F16F60"/>
    <w:rsid w:val="342F1837"/>
    <w:rsid w:val="35563115"/>
    <w:rsid w:val="37BFBFEE"/>
    <w:rsid w:val="37FD2E23"/>
    <w:rsid w:val="37FF18B9"/>
    <w:rsid w:val="3AEE7FDD"/>
    <w:rsid w:val="3B1D5808"/>
    <w:rsid w:val="3B701184"/>
    <w:rsid w:val="3BFE8EC0"/>
    <w:rsid w:val="3D3B750B"/>
    <w:rsid w:val="3DFB85D7"/>
    <w:rsid w:val="3DFFFEEB"/>
    <w:rsid w:val="3E578A4D"/>
    <w:rsid w:val="3E772758"/>
    <w:rsid w:val="3E7746F2"/>
    <w:rsid w:val="3EAFE38B"/>
    <w:rsid w:val="3EFB023F"/>
    <w:rsid w:val="3F5B7215"/>
    <w:rsid w:val="3F6FC1FB"/>
    <w:rsid w:val="3F730350"/>
    <w:rsid w:val="3F76647A"/>
    <w:rsid w:val="3FBA30DB"/>
    <w:rsid w:val="3FBFE16E"/>
    <w:rsid w:val="3FF7F9C0"/>
    <w:rsid w:val="3FFBC816"/>
    <w:rsid w:val="48D44964"/>
    <w:rsid w:val="4909338E"/>
    <w:rsid w:val="49A07007"/>
    <w:rsid w:val="4CD68066"/>
    <w:rsid w:val="4E67CE40"/>
    <w:rsid w:val="4F403848"/>
    <w:rsid w:val="4F6D150F"/>
    <w:rsid w:val="4FDB6D6F"/>
    <w:rsid w:val="4FEE37C7"/>
    <w:rsid w:val="50C23D07"/>
    <w:rsid w:val="517E78AA"/>
    <w:rsid w:val="53DF3E7F"/>
    <w:rsid w:val="543842E0"/>
    <w:rsid w:val="545DF6FA"/>
    <w:rsid w:val="55DE48F6"/>
    <w:rsid w:val="57ADBE82"/>
    <w:rsid w:val="57E332DD"/>
    <w:rsid w:val="57E9CD93"/>
    <w:rsid w:val="57EB425A"/>
    <w:rsid w:val="596AEB91"/>
    <w:rsid w:val="59D7A30C"/>
    <w:rsid w:val="5BEE7D82"/>
    <w:rsid w:val="5BFC36A8"/>
    <w:rsid w:val="5F5F35ED"/>
    <w:rsid w:val="5FB4B9F0"/>
    <w:rsid w:val="5FD532B6"/>
    <w:rsid w:val="5FD56614"/>
    <w:rsid w:val="5FE95128"/>
    <w:rsid w:val="5FFFD6B5"/>
    <w:rsid w:val="67BF653D"/>
    <w:rsid w:val="67FBD21B"/>
    <w:rsid w:val="69CDDFC6"/>
    <w:rsid w:val="6AFBD4E9"/>
    <w:rsid w:val="6B8E4AB9"/>
    <w:rsid w:val="6BFE087F"/>
    <w:rsid w:val="6BFF83C2"/>
    <w:rsid w:val="6C5F4E7D"/>
    <w:rsid w:val="6D3F2E98"/>
    <w:rsid w:val="6DFE07CC"/>
    <w:rsid w:val="6DFFB2B9"/>
    <w:rsid w:val="6ECB6C3E"/>
    <w:rsid w:val="6F3A9571"/>
    <w:rsid w:val="6FCDA027"/>
    <w:rsid w:val="6FDC8289"/>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4037;&#20316;\0306-&#39044;&#31639;&#20844;&#24320;&#23457;&#26680;\0306&#12289;&#21518;10&#25152;\2024&#24180;&#39044;&#31639;&#20844;&#24320;&#24213;&#31295;-&#39640;&#26657;&#3245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Lbls>
            <c:dLbl>
              <c:idx val="1"/>
              <c:layout>
                <c:manualLayout>
                  <c:x val="0.0921856985067011"/>
                  <c:y val="-0.01362704590765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18251818216454"/>
                  <c:y val="0.073000050001577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3"/>
              <c:layout>
                <c:manualLayout>
                  <c:x val="0.0309760986724078"/>
                  <c:y val="-0.0093401695374564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184737281899586"/>
                  <c:y val="0.10143392707628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5"/>
              <c:layout>
                <c:manualLayout>
                  <c:x val="0.0375366832228499"/>
                  <c:y val="0.0641891619035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6"/>
              <c:layout>
                <c:manualLayout>
                  <c:x val="0.0357390269153516"/>
                  <c:y val="0.11245488097403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'[2024年预算公开底稿-高校组.xlsx]收入对比（新）'!$C$79:$C$86</c:f>
              <c:strCache>
                <c:ptCount val="7"/>
                <c:pt idx="0">
                  <c:v>一般公共预算拨款收入</c:v>
                </c:pt>
                <c:pt idx="1">
                  <c:v>财政专户管理资金收入</c:v>
                </c:pt>
                <c:pt idx="2">
                  <c:v>事业收入</c:v>
                </c:pt>
                <c:pt idx="3">
                  <c:v>附属单位上缴收入</c:v>
                </c:pt>
                <c:pt idx="4">
                  <c:v>事业单位经营收入</c:v>
                </c:pt>
                <c:pt idx="5">
                  <c:v>其他收入</c:v>
                </c:pt>
                <c:pt idx="6">
                  <c:v>上年结转结余</c:v>
                </c:pt>
              </c:strCache>
            </c:strRef>
          </c:cat>
          <c:val>
            <c:numRef>
              <c:f>'[2024年预算公开底稿-高校组.xlsx]收入对比（新）'!$D$79:$D$86</c:f>
              <c:numCache>
                <c:formatCode>0.00_ </c:formatCode>
                <c:ptCount val="7"/>
                <c:pt idx="0">
                  <c:v>138542.629713</c:v>
                </c:pt>
                <c:pt idx="1">
                  <c:v>12678.1229</c:v>
                </c:pt>
                <c:pt idx="2">
                  <c:v>26557.44</c:v>
                </c:pt>
                <c:pt idx="3">
                  <c:v>100</c:v>
                </c:pt>
                <c:pt idx="4">
                  <c:v>50</c:v>
                </c:pt>
                <c:pt idx="5">
                  <c:v>2726</c:v>
                </c:pt>
                <c:pt idx="6">
                  <c:v>22941.440182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2567</Words>
  <Characters>2992</Characters>
  <Lines>22</Lines>
  <Paragraphs>6</Paragraphs>
  <TotalTime>114</TotalTime>
  <ScaleCrop>false</ScaleCrop>
  <LinksUpToDate>false</LinksUpToDate>
  <CharactersWithSpaces>3019</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2024-03-04T15:49:00Z</dcterms:created>
  <dc:creator>马荣丽</dc:creator>
  <cp:lastModifiedBy>高</cp:lastModifiedBy>
  <cp:lastPrinted>2024-03-04T16:19:00Z</cp:lastPrinted>
  <dcterms:modified xsi:type="dcterms:W3CDTF">2024-03-07T03:38:23Z</dcterms:modified>
  <dc:title>处领导：</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1D6F7F9E0C9649A3B20931BAE59FC865_13</vt:lpwstr>
  </property>
</Properties>
</file>