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北京工业大学</w:t>
      </w:r>
      <w:r>
        <w:rPr>
          <w:rFonts w:ascii="方正小标宋简体" w:eastAsia="方正小标宋简体"/>
          <w:color w:val="000000"/>
          <w:sz w:val="44"/>
          <w:szCs w:val="44"/>
        </w:rPr>
        <w:t>2024</w:t>
      </w:r>
      <w:r>
        <w:rPr>
          <w:rFonts w:hint="eastAsia" w:ascii="方正小标宋简体" w:eastAsia="方正小标宋简体"/>
          <w:color w:val="000000"/>
          <w:sz w:val="44"/>
          <w:szCs w:val="44"/>
        </w:rPr>
        <w:t>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w:t>
      </w:r>
      <w:r>
        <w:rPr>
          <w:rFonts w:ascii="方正小标宋简体" w:eastAsia="方正小标宋简体"/>
          <w:color w:val="000000"/>
          <w:sz w:val="32"/>
          <w:szCs w:val="32"/>
        </w:rPr>
        <w:t xml:space="preserve">   </w:t>
      </w:r>
      <w:r>
        <w:rPr>
          <w:rFonts w:hint="eastAsia" w:ascii="方正小标宋简体" w:eastAsia="方正小标宋简体"/>
          <w:color w:val="000000"/>
          <w:sz w:val="32"/>
          <w:szCs w:val="32"/>
        </w:rPr>
        <w:t>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w:t>
      </w:r>
      <w:r>
        <w:rPr>
          <w:rFonts w:ascii="黑体" w:hAnsi="黑体" w:eastAsia="黑体" w:cs="黑体"/>
          <w:color w:val="000000"/>
          <w:sz w:val="32"/>
          <w:szCs w:val="32"/>
        </w:rPr>
        <w:t xml:space="preserve"> </w:t>
      </w:r>
      <w:r>
        <w:rPr>
          <w:rFonts w:hint="eastAsia" w:ascii="黑体" w:hAnsi="黑体" w:eastAsia="黑体" w:cs="黑体"/>
          <w:color w:val="000000"/>
          <w:sz w:val="32"/>
          <w:szCs w:val="32"/>
        </w:rPr>
        <w:t>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w:t>
      </w:r>
      <w:r>
        <w:rPr>
          <w:rFonts w:ascii="黑体" w:hAnsi="黑体" w:eastAsia="黑体" w:cs="黑体"/>
          <w:color w:val="000000"/>
          <w:sz w:val="32"/>
          <w:szCs w:val="32"/>
        </w:rPr>
        <w:t xml:space="preserve"> </w:t>
      </w:r>
      <w:r>
        <w:rPr>
          <w:rFonts w:hint="eastAsia" w:ascii="黑体" w:hAnsi="黑体" w:eastAsia="黑体" w:cs="黑体"/>
          <w:color w:val="000000"/>
          <w:sz w:val="32"/>
          <w:szCs w:val="32"/>
        </w:rPr>
        <w:t>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kern w:val="0"/>
          <w:sz w:val="32"/>
          <w:szCs w:val="32"/>
          <w:lang w:val="zh-CN"/>
        </w:rPr>
        <w:t>二、收入总表</w:t>
      </w:r>
      <w:r>
        <w:rPr>
          <w:rFonts w:ascii="仿宋_GB2312" w:hAnsi="仿宋_GB2312" w:eastAsia="仿宋_GB2312" w:cs="仿宋_GB2312"/>
          <w:color w:val="000000"/>
          <w:kern w:val="0"/>
          <w:sz w:val="32"/>
          <w:szCs w:val="32"/>
          <w:lang w:val="zh-CN"/>
        </w:rPr>
        <w:t xml:space="preserve">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kern w:val="0"/>
          <w:sz w:val="32"/>
          <w:szCs w:val="32"/>
          <w:lang w:val="zh-CN"/>
        </w:rPr>
        <w:t>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sz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w:t>
      </w:r>
      <w:r>
        <w:rPr>
          <w:rFonts w:ascii="方正小标宋简体" w:eastAsia="方正小标宋简体"/>
          <w:color w:val="000000"/>
          <w:sz w:val="36"/>
          <w:szCs w:val="36"/>
        </w:rPr>
        <w:t xml:space="preserve">  2024</w:t>
      </w:r>
      <w:r>
        <w:rPr>
          <w:rFonts w:hint="eastAsia" w:ascii="方正小标宋简体" w:eastAsia="方正小标宋简体"/>
          <w:color w:val="000000"/>
          <w:sz w:val="36"/>
          <w:szCs w:val="36"/>
        </w:rPr>
        <w:t>年度单位预算情况说明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ind w:firstLine="707" w:firstLineChars="221"/>
        <w:rPr>
          <w:rFonts w:ascii="仿宋_GB2312" w:eastAsia="仿宋_GB2312"/>
          <w:color w:val="000000"/>
          <w:sz w:val="32"/>
          <w:szCs w:val="32"/>
        </w:rPr>
      </w:pPr>
      <w:r>
        <w:rPr>
          <w:rFonts w:hint="eastAsia" w:ascii="仿宋_GB2312" w:eastAsia="仿宋_GB2312"/>
          <w:color w:val="000000"/>
          <w:sz w:val="32"/>
          <w:szCs w:val="32"/>
        </w:rPr>
        <w:t>北京工业大学为公益二类事业单位，主要职责为培养高等学历人才，促进科技文化发展，培养机械工程、材料科学与工程、信息科学与技术、计算机科学与技术、土建与交通工程、环境科学与工程、光学工程、管理科学与工程等学科本科、硕士、博士研究生学历教育人才及进行相关非学历教育培训等。</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北京工业大学内设25个二级教学科研机构：机械与能源工程学院，材料科学与工程学院，信息学部，城市建设学部，环境科学与工程学院，化学与生命科学学院，物理与光电工程学院，数学统计学与力学学院，文法学部，经济与管理学院，马克思主义学院，艺术设计学院，体育部，继续教育学院，北京-都柏林国际学院，国际学院，樊恭烋荣誉学院，碳中和未来技术学院，创新创业学院，北京人工</w:t>
      </w:r>
      <w:r>
        <w:rPr>
          <w:rFonts w:hint="eastAsia" w:ascii="仿宋_GB2312" w:hAnsi="仿宋_GB2312" w:eastAsia="仿宋_GB2312" w:cs="仿宋_GB2312"/>
          <w:color w:val="000000"/>
          <w:sz w:val="32"/>
          <w:szCs w:val="32"/>
        </w:rPr>
        <w:t>智能研究院，素质教育学院（国家大学生文化素质教育基地），北工大大兴氢能产教融合基地建设办公室，北工大怀柔物质科学科教融汇基地建设办公室，北工大朝阳人工智能产教融合基地（山</w:t>
      </w:r>
      <w:r>
        <w:rPr>
          <w:rFonts w:hint="eastAsia" w:ascii="仿宋_GB2312" w:eastAsia="仿宋_GB2312"/>
          <w:color w:val="000000"/>
          <w:sz w:val="32"/>
          <w:szCs w:val="32"/>
        </w:rPr>
        <w:t>河湾谷创新区）建设办公室，北工大经开高端装备产教融合基地建设办公室</w:t>
      </w:r>
      <w:r>
        <w:rPr>
          <w:rFonts w:hint="eastAsia" w:ascii="仿宋_GB2312" w:eastAsia="仿宋_GB2312"/>
          <w:color w:val="000000"/>
          <w:sz w:val="32"/>
          <w:szCs w:val="32"/>
          <w:lang w:eastAsia="zh-CN"/>
        </w:rPr>
        <w:t>。</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内设41个二级非教学科研机构：党政办公室、政策研究室，党委党建工作处（巡察工作办公室），保密委员会办公室，党委组织部（党校办公室），机关党委，党委统战部，党委宣传部（新闻中心），纪检监察办公室，党委学生工作部（学生处、人民武装部），学生发展指导中心，学生数据管理与服务中心，党委保卫部、保卫处、安全稳定工作部，综合治理办公室，离退休工作处，改革与发展规划处、一流学科建设办公室，党委教师工作部、人事处、高层次人才工作办公室，教务处，招生办公室，研究生院，科学技术发展院（含学报编辑部），国有资产与实验室管理处，就业创业指导中心，国际交流合作处、港澳台事务办公室，财务处，基建修缮处，审计处，信息化处，对外合作联络处，后勤保障处，校学术委员会办公室，网络与信息技术中心，图书馆，档案馆（校史馆），北京工业大学医院，场馆管理中心，校工会，共青团北京工业大学委员会，通州校区管理中心，中蓝校区管理委员会，教学质量督导评估办公室，内部控制管理办公室。</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（三）人员编制及实有情况</w:t>
      </w:r>
    </w:p>
    <w:p>
      <w:pPr>
        <w:spacing w:line="560" w:lineRule="exact"/>
        <w:ind w:firstLine="707" w:firstLineChars="221"/>
        <w:rPr>
          <w:rFonts w:ascii="仿宋_GB2312" w:eastAsia="仿宋_GB2312"/>
          <w:color w:val="000000"/>
          <w:sz w:val="32"/>
          <w:szCs w:val="32"/>
        </w:rPr>
      </w:pPr>
      <w:r>
        <w:rPr>
          <w:rFonts w:hint="eastAsia" w:ascii="仿宋_GB2312" w:eastAsia="仿宋_GB2312"/>
          <w:color w:val="000000"/>
          <w:sz w:val="32"/>
          <w:szCs w:val="32"/>
        </w:rPr>
        <w:t>北京工业大学</w:t>
      </w:r>
      <w:r>
        <w:rPr>
          <w:rFonts w:hint="eastAsia" w:ascii="仿宋_GB2312" w:hAnsi="仿宋" w:eastAsia="仿宋_GB2312" w:cs="方正仿宋_GB2312"/>
          <w:color w:val="000000"/>
          <w:sz w:val="32"/>
          <w:szCs w:val="32"/>
        </w:rPr>
        <w:t>行政编制0人，实际0人；</w:t>
      </w:r>
      <w:r>
        <w:rPr>
          <w:rFonts w:hint="eastAsia" w:ascii="仿宋_GB2312" w:eastAsia="仿宋_GB2312"/>
          <w:color w:val="000000"/>
          <w:sz w:val="32"/>
          <w:szCs w:val="32"/>
        </w:rPr>
        <w:t>事业编制3596人，实际3335人；聘用人员（其他聘用人员--临时工）711人；离退休人员2993人，其中：离休27人，退休2966人。</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年度收入预算</w:t>
      </w:r>
      <w:r>
        <w:rPr>
          <w:rFonts w:ascii="仿宋_GB2312" w:eastAsia="仿宋_GB2312"/>
          <w:sz w:val="32"/>
          <w:szCs w:val="32"/>
        </w:rPr>
        <w:t>478359.30</w:t>
      </w:r>
      <w:r>
        <w:rPr>
          <w:rFonts w:hint="eastAsia" w:ascii="仿宋_GB2312" w:eastAsia="仿宋_GB2312"/>
          <w:sz w:val="32"/>
          <w:szCs w:val="32"/>
        </w:rPr>
        <w:t>万元，比2023年年初预算数</w:t>
      </w:r>
      <w:r>
        <w:rPr>
          <w:rFonts w:ascii="仿宋_GB2312" w:eastAsia="仿宋_GB2312"/>
          <w:sz w:val="32"/>
          <w:szCs w:val="32"/>
        </w:rPr>
        <w:t>330468.81</w:t>
      </w:r>
      <w:r>
        <w:rPr>
          <w:rFonts w:hint="eastAsia" w:ascii="仿宋_GB2312" w:eastAsia="仿宋_GB2312"/>
          <w:sz w:val="32"/>
          <w:szCs w:val="32"/>
        </w:rPr>
        <w:t>万元增加1</w:t>
      </w:r>
      <w:r>
        <w:rPr>
          <w:rFonts w:ascii="仿宋_GB2312" w:eastAsia="仿宋_GB2312"/>
          <w:sz w:val="32"/>
          <w:szCs w:val="32"/>
        </w:rPr>
        <w:t>47890.49</w:t>
      </w:r>
      <w:r>
        <w:rPr>
          <w:rFonts w:hint="eastAsia" w:ascii="仿宋_GB2312" w:eastAsia="仿宋_GB2312"/>
          <w:sz w:val="32"/>
          <w:szCs w:val="32"/>
        </w:rPr>
        <w:t>万元，增长4</w:t>
      </w:r>
      <w:r>
        <w:rPr>
          <w:rFonts w:ascii="仿宋_GB2312" w:eastAsia="仿宋_GB2312"/>
          <w:sz w:val="32"/>
          <w:szCs w:val="32"/>
        </w:rPr>
        <w:t>4.75%</w:t>
      </w:r>
      <w:r>
        <w:rPr>
          <w:rFonts w:hint="eastAsia" w:ascii="仿宋_GB2312" w:eastAsia="仿宋_GB2312"/>
          <w:sz w:val="32"/>
          <w:szCs w:val="32"/>
        </w:rPr>
        <w:t>。主要原因是按照全口径预算管理要求，为进一步加强非财政拨款资金管理，北京工业大学将所有非财政拨款资金全部纳入年度预算管理。</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w:t>
      </w:r>
      <w:r>
        <w:rPr>
          <w:rFonts w:ascii="楷体_GB2312" w:eastAsia="楷体_GB2312"/>
          <w:sz w:val="32"/>
          <w:szCs w:val="32"/>
        </w:rPr>
        <w:t>198013.55</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一般公共预算拨款收入</w:t>
      </w:r>
      <w:r>
        <w:rPr>
          <w:rFonts w:ascii="仿宋_GB2312" w:eastAsia="仿宋_GB2312"/>
          <w:sz w:val="32"/>
          <w:szCs w:val="32"/>
        </w:rPr>
        <w:t>197987.65</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政府性基金预算拨款收入2</w:t>
      </w:r>
      <w:r>
        <w:rPr>
          <w:rFonts w:ascii="仿宋_GB2312" w:eastAsia="仿宋_GB2312"/>
          <w:sz w:val="32"/>
          <w:szCs w:val="32"/>
        </w:rPr>
        <w:t>5.90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国有资本经营预算拨款收入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w:t>
      </w:r>
      <w:r>
        <w:rPr>
          <w:rFonts w:ascii="楷体_GB2312" w:eastAsia="楷体_GB2312"/>
          <w:sz w:val="32"/>
          <w:szCs w:val="32"/>
        </w:rPr>
        <w:t>109150.14</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财政专户管理资金收入</w:t>
      </w:r>
      <w:r>
        <w:rPr>
          <w:rFonts w:ascii="仿宋_GB2312" w:eastAsia="仿宋_GB2312"/>
          <w:sz w:val="32"/>
          <w:szCs w:val="32"/>
        </w:rPr>
        <w:t>21828.55</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事业收入</w:t>
      </w:r>
      <w:r>
        <w:rPr>
          <w:rFonts w:ascii="仿宋_GB2312" w:eastAsia="仿宋_GB2312"/>
          <w:sz w:val="32"/>
          <w:szCs w:val="32"/>
        </w:rPr>
        <w:t>74898.37</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事业单位经营收入</w:t>
      </w:r>
      <w:r>
        <w:rPr>
          <w:rFonts w:ascii="仿宋_GB2312" w:eastAsia="仿宋_GB2312"/>
          <w:sz w:val="32"/>
          <w:szCs w:val="32"/>
        </w:rPr>
        <w:t>3650.46</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其他收入</w:t>
      </w:r>
      <w:r>
        <w:rPr>
          <w:rFonts w:ascii="仿宋_GB2312" w:eastAsia="仿宋_GB2312"/>
          <w:sz w:val="32"/>
          <w:szCs w:val="32"/>
        </w:rPr>
        <w:t>8772.76</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w:t>
      </w:r>
      <w:r>
        <w:rPr>
          <w:rFonts w:ascii="楷体_GB2312" w:eastAsia="楷体_GB2312"/>
          <w:sz w:val="32"/>
          <w:szCs w:val="32"/>
        </w:rPr>
        <w:t>171195.61</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上年结转结余</w:t>
      </w:r>
      <w:r>
        <w:rPr>
          <w:rFonts w:ascii="仿宋_GB2312" w:eastAsia="仿宋_GB2312"/>
          <w:sz w:val="32"/>
          <w:szCs w:val="32"/>
        </w:rPr>
        <w:t>171195.61</w:t>
      </w:r>
      <w:r>
        <w:rPr>
          <w:rFonts w:hint="eastAsia" w:ascii="仿宋_GB2312" w:eastAsia="仿宋_GB2312"/>
          <w:sz w:val="32"/>
          <w:szCs w:val="32"/>
        </w:rPr>
        <w:t>万元。</w:t>
      </w:r>
    </w:p>
    <w:p>
      <w:pPr>
        <w:spacing w:line="560" w:lineRule="exact"/>
        <w:ind w:firstLine="640"/>
        <w:rPr>
          <w:rFonts w:ascii="仿宋_GB2312" w:eastAsia="仿宋_GB2312"/>
          <w:sz w:val="32"/>
          <w:szCs w:val="32"/>
        </w:rPr>
      </w:pPr>
    </w:p>
    <w:p>
      <w:pPr>
        <w:pStyle w:val="2"/>
        <w:jc w:val="cente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年支出预算</w:t>
      </w:r>
      <w:r>
        <w:rPr>
          <w:rFonts w:hint="eastAsia" w:ascii="仿宋_GB2312" w:eastAsia="仿宋_GB2312"/>
          <w:sz w:val="32"/>
          <w:szCs w:val="32"/>
          <w:lang w:val="en-US" w:eastAsia="zh-CN"/>
        </w:rPr>
        <w:t>478359.30</w:t>
      </w:r>
      <w:r>
        <w:rPr>
          <w:rFonts w:hint="eastAsia" w:ascii="仿宋_GB2312" w:eastAsia="仿宋_GB2312"/>
          <w:sz w:val="32"/>
          <w:szCs w:val="32"/>
        </w:rPr>
        <w:t>万元，比2023年年初预算数</w:t>
      </w:r>
      <w:r>
        <w:rPr>
          <w:rFonts w:ascii="仿宋_GB2312" w:eastAsia="仿宋_GB2312"/>
          <w:sz w:val="32"/>
          <w:szCs w:val="32"/>
        </w:rPr>
        <w:t>330468.81</w:t>
      </w:r>
      <w:r>
        <w:rPr>
          <w:rFonts w:hint="eastAsia" w:ascii="仿宋_GB2312" w:eastAsia="仿宋_GB2312"/>
          <w:sz w:val="32"/>
          <w:szCs w:val="32"/>
        </w:rPr>
        <w:t>万元增加</w:t>
      </w:r>
      <w:r>
        <w:rPr>
          <w:rFonts w:hint="eastAsia" w:ascii="仿宋_GB2312" w:eastAsia="仿宋_GB2312"/>
          <w:sz w:val="32"/>
          <w:szCs w:val="32"/>
          <w:lang w:val="en-US" w:eastAsia="zh-CN"/>
        </w:rPr>
        <w:t>147890.49</w:t>
      </w:r>
      <w:r>
        <w:rPr>
          <w:rFonts w:hint="eastAsia" w:ascii="仿宋_GB2312" w:eastAsia="仿宋_GB2312"/>
          <w:sz w:val="32"/>
          <w:szCs w:val="32"/>
        </w:rPr>
        <w:t>万元，增长</w:t>
      </w:r>
      <w:r>
        <w:rPr>
          <w:rFonts w:hint="eastAsia" w:ascii="仿宋_GB2312" w:eastAsia="仿宋_GB2312"/>
          <w:sz w:val="32"/>
          <w:szCs w:val="32"/>
          <w:lang w:val="en-US" w:eastAsia="zh-CN"/>
        </w:rPr>
        <w:t>44.75</w:t>
      </w:r>
      <w:r>
        <w:rPr>
          <w:rFonts w:ascii="仿宋_GB2312" w:eastAsia="仿宋_GB2312"/>
          <w:sz w:val="32"/>
          <w:szCs w:val="32"/>
        </w:rPr>
        <w:t>%</w:t>
      </w:r>
      <w:r>
        <w:rPr>
          <w:rFonts w:hint="eastAsia" w:ascii="仿宋_GB2312" w:eastAsia="仿宋_GB2312"/>
          <w:sz w:val="32"/>
          <w:szCs w:val="32"/>
        </w:rPr>
        <w:t>。主要原因一是按照全口径预算管理要求，为进一步加强非财政拨款资金管理，将所有非财政拨款资金全部纳入年度预算管理</w:t>
      </w:r>
      <w:r>
        <w:rPr>
          <w:rFonts w:hint="eastAsia" w:ascii="仿宋_GB2312" w:eastAsia="仿宋_GB2312"/>
          <w:sz w:val="32"/>
          <w:szCs w:val="32"/>
          <w:lang w:eastAsia="zh-CN"/>
        </w:rPr>
        <w:t>；</w:t>
      </w:r>
      <w:r>
        <w:rPr>
          <w:rFonts w:hint="eastAsia" w:ascii="仿宋_GB2312" w:eastAsia="仿宋_GB2312"/>
          <w:sz w:val="32"/>
          <w:szCs w:val="32"/>
        </w:rPr>
        <w:t>二是硕博学生人数增加，运转经费有所增加；</w:t>
      </w:r>
      <w:r>
        <w:rPr>
          <w:rFonts w:hint="eastAsia" w:ascii="仿宋_GB2312" w:eastAsia="仿宋_GB2312"/>
          <w:sz w:val="32"/>
          <w:szCs w:val="32"/>
          <w:lang w:val="en-US" w:eastAsia="zh-CN"/>
        </w:rPr>
        <w:t>三是</w:t>
      </w:r>
      <w:r>
        <w:rPr>
          <w:rFonts w:hint="eastAsia" w:ascii="仿宋_GB2312" w:eastAsia="仿宋_GB2312"/>
          <w:sz w:val="32"/>
          <w:szCs w:val="32"/>
        </w:rPr>
        <w:t>根据事业发展规划</w:t>
      </w:r>
      <w:r>
        <w:rPr>
          <w:rFonts w:hint="eastAsia" w:ascii="仿宋_GB2312" w:eastAsia="仿宋_GB2312"/>
          <w:sz w:val="32"/>
          <w:szCs w:val="32"/>
          <w:lang w:eastAsia="zh-CN"/>
        </w:rPr>
        <w:t>，增加</w:t>
      </w:r>
      <w:r>
        <w:rPr>
          <w:rFonts w:hint="eastAsia" w:ascii="仿宋_GB2312" w:eastAsia="仿宋_GB2312"/>
          <w:sz w:val="32"/>
          <w:szCs w:val="32"/>
        </w:rPr>
        <w:t>部分</w:t>
      </w:r>
      <w:bookmarkStart w:id="1" w:name="_GoBack"/>
      <w:bookmarkEnd w:id="1"/>
      <w:r>
        <w:rPr>
          <w:rFonts w:hint="eastAsia" w:ascii="仿宋_GB2312" w:eastAsia="仿宋_GB2312"/>
          <w:sz w:val="32"/>
          <w:szCs w:val="32"/>
        </w:rPr>
        <w:t>经费安排。</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ascii="仿宋_GB2312" w:eastAsia="仿宋_GB2312"/>
          <w:sz w:val="32"/>
          <w:szCs w:val="32"/>
        </w:rPr>
        <w:t>328558.55</w:t>
      </w:r>
      <w:r>
        <w:rPr>
          <w:rFonts w:hint="eastAsia" w:ascii="仿宋_GB2312" w:eastAsia="仿宋_GB2312"/>
          <w:sz w:val="32"/>
          <w:szCs w:val="32"/>
        </w:rPr>
        <w:t>万元，占总支出预算</w:t>
      </w:r>
      <w:r>
        <w:rPr>
          <w:rFonts w:ascii="仿宋_GB2312" w:eastAsia="仿宋_GB2312"/>
          <w:sz w:val="32"/>
          <w:szCs w:val="32"/>
        </w:rPr>
        <w:t>92.98%</w:t>
      </w:r>
      <w:r>
        <w:rPr>
          <w:rFonts w:hint="eastAsia" w:ascii="仿宋_GB2312" w:eastAsia="仿宋_GB2312"/>
          <w:sz w:val="32"/>
          <w:szCs w:val="32"/>
        </w:rPr>
        <w:t>，比2023年年初预算数</w:t>
      </w:r>
      <w:r>
        <w:rPr>
          <w:rFonts w:ascii="仿宋_GB2312" w:eastAsia="仿宋_GB2312"/>
          <w:sz w:val="32"/>
          <w:szCs w:val="32"/>
        </w:rPr>
        <w:t>300629.82</w:t>
      </w:r>
      <w:r>
        <w:rPr>
          <w:rFonts w:hint="eastAsia" w:ascii="仿宋_GB2312" w:eastAsia="仿宋_GB2312"/>
          <w:sz w:val="32"/>
          <w:szCs w:val="32"/>
        </w:rPr>
        <w:t>万元增加2</w:t>
      </w:r>
      <w:r>
        <w:rPr>
          <w:rFonts w:ascii="仿宋_GB2312" w:eastAsia="仿宋_GB2312"/>
          <w:sz w:val="32"/>
          <w:szCs w:val="32"/>
        </w:rPr>
        <w:t>7928.73</w:t>
      </w:r>
      <w:r>
        <w:rPr>
          <w:rFonts w:hint="eastAsia" w:ascii="仿宋_GB2312" w:eastAsia="仿宋_GB2312"/>
          <w:sz w:val="32"/>
          <w:szCs w:val="32"/>
        </w:rPr>
        <w:t>万元，增长9</w:t>
      </w:r>
      <w:r>
        <w:rPr>
          <w:rFonts w:ascii="仿宋_GB2312" w:eastAsia="仿宋_GB2312"/>
          <w:sz w:val="32"/>
          <w:szCs w:val="32"/>
        </w:rPr>
        <w:t>.29%</w:t>
      </w:r>
      <w:r>
        <w:rPr>
          <w:rFonts w:hint="eastAsia" w:ascii="仿宋_GB2312" w:eastAsia="仿宋_GB2312"/>
          <w:sz w:val="32"/>
          <w:szCs w:val="32"/>
        </w:rPr>
        <w:t>。</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ascii="仿宋_GB2312" w:eastAsia="仿宋_GB2312"/>
          <w:sz w:val="32"/>
          <w:szCs w:val="32"/>
        </w:rPr>
        <w:t>24800.75</w:t>
      </w:r>
      <w:r>
        <w:rPr>
          <w:rFonts w:hint="eastAsia" w:ascii="仿宋_GB2312" w:eastAsia="仿宋_GB2312"/>
          <w:sz w:val="32"/>
          <w:szCs w:val="32"/>
        </w:rPr>
        <w:t>万元，比2023年年初预算数</w:t>
      </w:r>
      <w:r>
        <w:rPr>
          <w:rFonts w:ascii="仿宋_GB2312" w:eastAsia="仿宋_GB2312"/>
          <w:sz w:val="32"/>
          <w:szCs w:val="32"/>
        </w:rPr>
        <w:t>29838.99</w:t>
      </w:r>
      <w:r>
        <w:rPr>
          <w:rFonts w:hint="eastAsia" w:ascii="仿宋_GB2312" w:eastAsia="仿宋_GB2312"/>
          <w:sz w:val="32"/>
          <w:szCs w:val="32"/>
        </w:rPr>
        <w:t>万元减少5</w:t>
      </w:r>
      <w:r>
        <w:rPr>
          <w:rFonts w:ascii="仿宋_GB2312" w:eastAsia="仿宋_GB2312"/>
          <w:sz w:val="32"/>
          <w:szCs w:val="32"/>
        </w:rPr>
        <w:t>038.24</w:t>
      </w:r>
      <w:r>
        <w:rPr>
          <w:rFonts w:hint="eastAsia" w:ascii="仿宋_GB2312" w:eastAsia="仿宋_GB2312"/>
          <w:sz w:val="32"/>
          <w:szCs w:val="32"/>
        </w:rPr>
        <w:t>万元，下降1</w:t>
      </w:r>
      <w:r>
        <w:rPr>
          <w:rFonts w:ascii="仿宋_GB2312" w:eastAsia="仿宋_GB2312"/>
          <w:sz w:val="32"/>
          <w:szCs w:val="32"/>
        </w:rPr>
        <w:t>6.88%</w:t>
      </w:r>
      <w:r>
        <w:rPr>
          <w:rFonts w:hint="eastAsia" w:ascii="仿宋_GB2312" w:eastAsia="仿宋_GB2312"/>
          <w:sz w:val="32"/>
          <w:szCs w:val="32"/>
        </w:rPr>
        <w:t>。其中：</w:t>
      </w:r>
    </w:p>
    <w:p>
      <w:pPr>
        <w:spacing w:line="560" w:lineRule="exact"/>
        <w:ind w:firstLine="64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事业单位经营支出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w:t>
      </w:r>
    </w:p>
    <w:p>
      <w:pPr>
        <w:pStyle w:val="2"/>
        <w:ind w:firstLine="642"/>
        <w:jc w:val="center"/>
      </w:pPr>
      <w:r>
        <w:t xml:space="preserve"> </w:t>
      </w:r>
      <w:r>
        <w:drawing>
          <wp:inline distT="0" distB="0" distL="0" distR="0">
            <wp:extent cx="4572000" cy="310515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w:t>
      </w:r>
      <w:r>
        <w:rPr>
          <w:rFonts w:ascii="仿宋_GB2312" w:eastAsia="仿宋_GB2312"/>
          <w:sz w:val="32"/>
        </w:rPr>
        <w:t>2</w:t>
      </w:r>
      <w:r>
        <w:rPr>
          <w:rFonts w:hint="eastAsia" w:ascii="仿宋_GB2312" w:eastAsia="仿宋_GB2312"/>
          <w:sz w:val="32"/>
        </w:rPr>
        <w:t>：基本支出和项目支出情况</w:t>
      </w:r>
    </w:p>
    <w:p>
      <w:pPr>
        <w:numPr>
          <w:ilvl w:val="0"/>
          <w:numId w:val="1"/>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w:t>
      </w:r>
      <w:r>
        <w:rPr>
          <w:rFonts w:ascii="楷体_GB2312" w:hAnsi="楷体_GB2312" w:eastAsia="楷体_GB2312" w:cs="楷体_GB2312"/>
          <w:color w:val="000000"/>
          <w:sz w:val="32"/>
          <w:szCs w:val="32"/>
        </w:rPr>
        <w:t>125000.00</w:t>
      </w:r>
      <w:r>
        <w:rPr>
          <w:rFonts w:hint="eastAsia" w:ascii="楷体_GB2312" w:hAnsi="楷体_GB2312" w:eastAsia="楷体_GB2312" w:cs="楷体_GB2312"/>
          <w:color w:val="000000"/>
          <w:sz w:val="32"/>
          <w:szCs w:val="32"/>
        </w:rPr>
        <w:t>万元</w:t>
      </w:r>
    </w:p>
    <w:p>
      <w:pPr>
        <w:spacing w:line="560" w:lineRule="exact"/>
        <w:ind w:firstLine="640" w:firstLineChars="200"/>
        <w:rPr>
          <w:rFonts w:ascii="楷体_GB2312" w:eastAsia="楷体_GB2312" w:cs="楷体_GB2312"/>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北京工业大学因公出国（境）费用、公务接待费、公务用车购置和运行维护费开支单位包括</w:t>
      </w:r>
      <w:r>
        <w:rPr>
          <w:rFonts w:ascii="仿宋_GB2312" w:eastAsia="仿宋_GB2312"/>
          <w:sz w:val="32"/>
          <w:szCs w:val="32"/>
        </w:rPr>
        <w:t>1</w:t>
      </w:r>
      <w:r>
        <w:rPr>
          <w:rFonts w:hint="eastAsia" w:ascii="仿宋_GB2312" w:eastAsia="仿宋_GB2312"/>
          <w:sz w:val="32"/>
          <w:szCs w:val="32"/>
        </w:rPr>
        <w:t>个所属单位。其他所属单位2024年无财政拨款安排的“三公”经费预算。</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2024年财政拨款“三公”经费预算</w:t>
      </w:r>
      <w:r>
        <w:rPr>
          <w:rFonts w:ascii="仿宋_GB2312" w:eastAsia="仿宋_GB2312"/>
          <w:sz w:val="32"/>
          <w:szCs w:val="32"/>
        </w:rPr>
        <w:t>73.76</w:t>
      </w:r>
      <w:r>
        <w:rPr>
          <w:rFonts w:hint="eastAsia" w:ascii="仿宋_GB2312" w:eastAsia="仿宋_GB2312"/>
          <w:sz w:val="32"/>
          <w:szCs w:val="32"/>
        </w:rPr>
        <w:t>万元，比2023年财政拨款“三公”经费预算增加2</w:t>
      </w:r>
      <w:r>
        <w:rPr>
          <w:rFonts w:ascii="仿宋_GB2312" w:eastAsia="仿宋_GB2312"/>
          <w:sz w:val="32"/>
          <w:szCs w:val="32"/>
        </w:rPr>
        <w:t>0.66</w:t>
      </w:r>
      <w:r>
        <w:rPr>
          <w:rFonts w:hint="eastAsia" w:ascii="仿宋_GB2312" w:eastAsia="仿宋_GB2312"/>
          <w:sz w:val="32"/>
          <w:szCs w:val="32"/>
        </w:rPr>
        <w:t>万元。其中：</w:t>
      </w:r>
    </w:p>
    <w:p>
      <w:pPr>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因公出国（境）费用。2024年预算数</w:t>
      </w:r>
      <w:r>
        <w:rPr>
          <w:rFonts w:ascii="仿宋_GB2312" w:eastAsia="仿宋_GB2312"/>
          <w:sz w:val="32"/>
          <w:szCs w:val="32"/>
        </w:rPr>
        <w:t>22.80</w:t>
      </w:r>
      <w:r>
        <w:rPr>
          <w:rFonts w:hint="eastAsia" w:ascii="仿宋_GB2312" w:eastAsia="仿宋_GB2312"/>
          <w:sz w:val="32"/>
          <w:szCs w:val="32"/>
        </w:rPr>
        <w:t>万元，与2023年持平。</w:t>
      </w:r>
    </w:p>
    <w:p>
      <w:pPr>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公务接待费。2024年预算数</w:t>
      </w:r>
      <w:r>
        <w:rPr>
          <w:rFonts w:ascii="仿宋_GB2312" w:eastAsia="仿宋_GB2312"/>
          <w:sz w:val="32"/>
          <w:szCs w:val="32"/>
        </w:rPr>
        <w:t>0</w:t>
      </w:r>
      <w:r>
        <w:rPr>
          <w:rFonts w:hint="eastAsia" w:ascii="仿宋_GB2312" w:eastAsia="仿宋_GB2312"/>
          <w:sz w:val="32"/>
          <w:szCs w:val="32"/>
        </w:rPr>
        <w:t>万元，与2023年持平。</w:t>
      </w:r>
    </w:p>
    <w:p>
      <w:pPr>
        <w:spacing w:line="54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公务用车购置和运行维护费。2024年预算数</w:t>
      </w:r>
      <w:r>
        <w:rPr>
          <w:rFonts w:ascii="仿宋_GB2312" w:eastAsia="仿宋_GB2312"/>
          <w:sz w:val="32"/>
          <w:szCs w:val="32"/>
        </w:rPr>
        <w:t>50.96</w:t>
      </w:r>
      <w:r>
        <w:rPr>
          <w:rFonts w:hint="eastAsia" w:ascii="仿宋_GB2312" w:eastAsia="仿宋_GB2312"/>
          <w:sz w:val="32"/>
          <w:szCs w:val="32"/>
        </w:rPr>
        <w:t>万元，包括：公务用车购置费2024年预算数</w:t>
      </w:r>
      <w:r>
        <w:rPr>
          <w:rFonts w:ascii="仿宋_GB2312" w:eastAsia="仿宋_GB2312"/>
          <w:sz w:val="32"/>
          <w:szCs w:val="32"/>
        </w:rPr>
        <w:t>35.96</w:t>
      </w:r>
      <w:r>
        <w:rPr>
          <w:rFonts w:hint="eastAsia" w:ascii="仿宋_GB2312" w:eastAsia="仿宋_GB2312"/>
          <w:sz w:val="32"/>
          <w:szCs w:val="32"/>
        </w:rPr>
        <w:t>万元，比2023年年初预算数</w:t>
      </w:r>
      <w:r>
        <w:rPr>
          <w:rFonts w:ascii="仿宋_GB2312" w:eastAsia="仿宋_GB2312"/>
          <w:sz w:val="32"/>
          <w:szCs w:val="32"/>
        </w:rPr>
        <w:t>15.30</w:t>
      </w:r>
      <w:r>
        <w:rPr>
          <w:rFonts w:hint="eastAsia" w:ascii="仿宋_GB2312" w:eastAsia="仿宋_GB2312"/>
          <w:sz w:val="32"/>
          <w:szCs w:val="32"/>
        </w:rPr>
        <w:t>万元增加2</w:t>
      </w:r>
      <w:r>
        <w:rPr>
          <w:rFonts w:ascii="仿宋_GB2312" w:eastAsia="仿宋_GB2312"/>
          <w:sz w:val="32"/>
          <w:szCs w:val="32"/>
        </w:rPr>
        <w:t>0.66</w:t>
      </w:r>
      <w:r>
        <w:rPr>
          <w:rFonts w:hint="eastAsia" w:ascii="仿宋_GB2312" w:eastAsia="仿宋_GB2312"/>
          <w:sz w:val="32"/>
          <w:szCs w:val="32"/>
        </w:rPr>
        <w:t>万元，主要原因为根据事业发展规划，2</w:t>
      </w:r>
      <w:r>
        <w:rPr>
          <w:rFonts w:ascii="仿宋_GB2312" w:eastAsia="仿宋_GB2312"/>
          <w:sz w:val="32"/>
          <w:szCs w:val="32"/>
        </w:rPr>
        <w:t>024</w:t>
      </w:r>
      <w:r>
        <w:rPr>
          <w:rFonts w:hint="eastAsia" w:ascii="仿宋_GB2312" w:eastAsia="仿宋_GB2312"/>
          <w:sz w:val="32"/>
          <w:szCs w:val="32"/>
        </w:rPr>
        <w:t>年计划购置新能源公务用车两辆；公务用车运行维护费2024年预算数</w:t>
      </w:r>
      <w:r>
        <w:rPr>
          <w:rFonts w:ascii="仿宋_GB2312" w:eastAsia="仿宋_GB2312"/>
          <w:sz w:val="32"/>
          <w:szCs w:val="32"/>
        </w:rPr>
        <w:t>15.00</w:t>
      </w:r>
      <w:r>
        <w:rPr>
          <w:rFonts w:hint="eastAsia" w:ascii="仿宋_GB2312" w:eastAsia="仿宋_GB2312"/>
          <w:sz w:val="32"/>
          <w:szCs w:val="32"/>
        </w:rPr>
        <w:t>万元，其中：公务用车燃油</w:t>
      </w:r>
      <w:r>
        <w:rPr>
          <w:rFonts w:ascii="仿宋_GB2312" w:eastAsia="仿宋_GB2312"/>
          <w:sz w:val="32"/>
          <w:szCs w:val="32"/>
        </w:rPr>
        <w:t>0</w:t>
      </w:r>
      <w:r>
        <w:rPr>
          <w:rFonts w:hint="eastAsia" w:ascii="仿宋_GB2312" w:eastAsia="仿宋_GB2312"/>
          <w:sz w:val="32"/>
          <w:szCs w:val="32"/>
        </w:rPr>
        <w:t>万元，公务用车维修</w:t>
      </w:r>
      <w:r>
        <w:rPr>
          <w:rFonts w:ascii="仿宋_GB2312" w:eastAsia="仿宋_GB2312"/>
          <w:sz w:val="32"/>
          <w:szCs w:val="32"/>
        </w:rPr>
        <w:t>9.50</w:t>
      </w:r>
      <w:r>
        <w:rPr>
          <w:rFonts w:hint="eastAsia" w:ascii="仿宋_GB2312" w:eastAsia="仿宋_GB2312"/>
          <w:sz w:val="32"/>
          <w:szCs w:val="32"/>
        </w:rPr>
        <w:t>万元，公务用车保险</w:t>
      </w:r>
      <w:r>
        <w:rPr>
          <w:rFonts w:ascii="仿宋_GB2312" w:eastAsia="仿宋_GB2312"/>
          <w:sz w:val="32"/>
          <w:szCs w:val="32"/>
        </w:rPr>
        <w:t>4.40</w:t>
      </w:r>
      <w:r>
        <w:rPr>
          <w:rFonts w:hint="eastAsia" w:ascii="仿宋_GB2312" w:eastAsia="仿宋_GB2312"/>
          <w:sz w:val="32"/>
          <w:szCs w:val="32"/>
        </w:rPr>
        <w:t>万元，其他支出</w:t>
      </w:r>
      <w:r>
        <w:rPr>
          <w:rFonts w:ascii="仿宋_GB2312" w:eastAsia="仿宋_GB2312"/>
          <w:sz w:val="32"/>
          <w:szCs w:val="32"/>
        </w:rPr>
        <w:t>1.10</w:t>
      </w:r>
      <w:r>
        <w:rPr>
          <w:rFonts w:hint="eastAsia" w:ascii="仿宋_GB2312" w:eastAsia="仿宋_GB2312"/>
          <w:sz w:val="32"/>
          <w:szCs w:val="32"/>
        </w:rPr>
        <w:t>万元。公务用车运行维护费2024年预算数与2023年持平。</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2024年北京工业大学政府采购预算总额</w:t>
      </w:r>
      <w:r>
        <w:rPr>
          <w:rFonts w:ascii="仿宋_GB2312" w:eastAsia="仿宋_GB2312"/>
          <w:sz w:val="32"/>
          <w:szCs w:val="32"/>
        </w:rPr>
        <w:t>27019.64</w:t>
      </w:r>
      <w:r>
        <w:rPr>
          <w:rFonts w:hint="eastAsia" w:ascii="仿宋_GB2312" w:eastAsia="仿宋_GB2312"/>
          <w:sz w:val="32"/>
          <w:szCs w:val="32"/>
        </w:rPr>
        <w:t>万元，其中：政府采购货物预算</w:t>
      </w:r>
      <w:r>
        <w:rPr>
          <w:rFonts w:ascii="仿宋_GB2312" w:eastAsia="仿宋_GB2312"/>
          <w:sz w:val="32"/>
          <w:szCs w:val="32"/>
        </w:rPr>
        <w:t>12819.71</w:t>
      </w:r>
      <w:r>
        <w:rPr>
          <w:rFonts w:hint="eastAsia" w:ascii="仿宋_GB2312" w:eastAsia="仿宋_GB2312"/>
          <w:sz w:val="32"/>
          <w:szCs w:val="32"/>
        </w:rPr>
        <w:t>万元，政府采购工程预算</w:t>
      </w:r>
      <w:r>
        <w:rPr>
          <w:rFonts w:ascii="仿宋_GB2312" w:eastAsia="仿宋_GB2312"/>
          <w:sz w:val="32"/>
          <w:szCs w:val="32"/>
        </w:rPr>
        <w:t>10087.29</w:t>
      </w:r>
      <w:r>
        <w:rPr>
          <w:rFonts w:hint="eastAsia" w:ascii="仿宋_GB2312" w:eastAsia="仿宋_GB2312"/>
          <w:sz w:val="32"/>
          <w:szCs w:val="32"/>
        </w:rPr>
        <w:t>万元，政府采购服务预算</w:t>
      </w:r>
      <w:r>
        <w:rPr>
          <w:rFonts w:ascii="仿宋_GB2312" w:eastAsia="仿宋_GB2312"/>
          <w:sz w:val="32"/>
          <w:szCs w:val="32"/>
        </w:rPr>
        <w:t>4112.64</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2024年北京工业大学政府购买服务预算总额</w:t>
      </w:r>
      <w:r>
        <w:rPr>
          <w:rFonts w:ascii="仿宋_GB2312" w:eastAsia="仿宋_GB2312"/>
          <w:color w:val="000000"/>
          <w:sz w:val="32"/>
          <w:szCs w:val="32"/>
        </w:rPr>
        <w:t>0</w:t>
      </w:r>
      <w:r>
        <w:rPr>
          <w:rFonts w:hint="eastAsia" w:ascii="仿宋_GB2312" w:eastAsia="仿宋_GB2312"/>
          <w:color w:val="000000"/>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我单位不在机关运行经费统计范围之内。</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2024年，北京工业大学填报绩效目标的预算项目</w:t>
      </w:r>
      <w:r>
        <w:rPr>
          <w:rFonts w:ascii="仿宋_GB2312" w:eastAsia="仿宋_GB2312"/>
          <w:sz w:val="32"/>
          <w:szCs w:val="32"/>
        </w:rPr>
        <w:t>34</w:t>
      </w:r>
      <w:r>
        <w:rPr>
          <w:rFonts w:hint="eastAsia" w:ascii="仿宋_GB2312" w:eastAsia="仿宋_GB2312"/>
          <w:sz w:val="32"/>
          <w:szCs w:val="32"/>
        </w:rPr>
        <w:t>个，占本单位本年预算项目</w:t>
      </w:r>
      <w:r>
        <w:rPr>
          <w:rFonts w:ascii="仿宋_GB2312" w:eastAsia="仿宋_GB2312"/>
          <w:sz w:val="32"/>
          <w:szCs w:val="32"/>
        </w:rPr>
        <w:t>34</w:t>
      </w:r>
      <w:r>
        <w:rPr>
          <w:rFonts w:hint="eastAsia" w:ascii="仿宋_GB2312" w:eastAsia="仿宋_GB2312"/>
          <w:sz w:val="32"/>
          <w:szCs w:val="32"/>
        </w:rPr>
        <w:t>个的</w:t>
      </w:r>
      <w:r>
        <w:rPr>
          <w:rFonts w:ascii="仿宋_GB2312" w:eastAsia="仿宋_GB2312"/>
          <w:sz w:val="32"/>
          <w:szCs w:val="32"/>
        </w:rPr>
        <w:t>100%</w:t>
      </w:r>
      <w:r>
        <w:rPr>
          <w:rFonts w:hint="eastAsia" w:ascii="仿宋_GB2312" w:eastAsia="仿宋_GB2312"/>
          <w:sz w:val="32"/>
          <w:szCs w:val="32"/>
        </w:rPr>
        <w:t>。填报绩效目标的项目支出预算</w:t>
      </w:r>
      <w:r>
        <w:rPr>
          <w:rFonts w:ascii="仿宋_GB2312" w:eastAsia="仿宋_GB2312"/>
          <w:sz w:val="32"/>
          <w:szCs w:val="32"/>
        </w:rPr>
        <w:t>23605.14</w:t>
      </w:r>
      <w:r>
        <w:rPr>
          <w:rFonts w:hint="eastAsia" w:ascii="仿宋_GB2312" w:eastAsia="仿宋_GB2312"/>
          <w:sz w:val="32"/>
          <w:szCs w:val="32"/>
        </w:rPr>
        <w:t>万元，占本单位本年项目支出预算的</w:t>
      </w:r>
      <w:r>
        <w:rPr>
          <w:rFonts w:ascii="仿宋_GB2312" w:eastAsia="仿宋_GB2312"/>
          <w:sz w:val="32"/>
          <w:szCs w:val="32"/>
        </w:rPr>
        <w:t>100%</w:t>
      </w:r>
      <w:r>
        <w:rPr>
          <w:rFonts w:hint="eastAsia" w:ascii="仿宋_GB2312" w:eastAsia="仿宋_GB2312"/>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480" w:firstLineChars="150"/>
        <w:rPr>
          <w:rFonts w:ascii="仿宋_GB2312" w:eastAsia="仿宋_GB2312"/>
          <w:sz w:val="32"/>
          <w:szCs w:val="32"/>
        </w:rPr>
      </w:pPr>
      <w:r>
        <w:rPr>
          <w:rFonts w:hint="eastAsia" w:ascii="仿宋_GB2312" w:eastAsia="仿宋_GB2312"/>
          <w:sz w:val="32"/>
          <w:szCs w:val="32"/>
        </w:rPr>
        <w:t>本单位2024年无重点行政事业性收费。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截至2023年底，北京工业大学共有车辆</w:t>
      </w:r>
      <w:r>
        <w:rPr>
          <w:rFonts w:ascii="仿宋_GB2312" w:eastAsia="仿宋_GB2312"/>
          <w:color w:val="000000"/>
          <w:sz w:val="32"/>
          <w:szCs w:val="32"/>
        </w:rPr>
        <w:t>25</w:t>
      </w:r>
      <w:r>
        <w:rPr>
          <w:rFonts w:hint="eastAsia" w:ascii="仿宋_GB2312" w:eastAsia="仿宋_GB2312"/>
          <w:color w:val="000000"/>
          <w:sz w:val="32"/>
          <w:szCs w:val="32"/>
        </w:rPr>
        <w:t>台，共计</w:t>
      </w:r>
      <w:r>
        <w:rPr>
          <w:rFonts w:ascii="仿宋_GB2312" w:eastAsia="仿宋_GB2312"/>
          <w:color w:val="000000"/>
          <w:sz w:val="32"/>
          <w:szCs w:val="32"/>
        </w:rPr>
        <w:t>675.72</w:t>
      </w:r>
      <w:r>
        <w:rPr>
          <w:rFonts w:hint="eastAsia" w:ascii="仿宋_GB2312" w:eastAsia="仿宋_GB2312"/>
          <w:color w:val="000000"/>
          <w:sz w:val="32"/>
          <w:szCs w:val="32"/>
        </w:rPr>
        <w:t>万元；</w:t>
      </w:r>
      <w:r>
        <w:rPr>
          <w:rFonts w:hint="eastAsia" w:ascii="仿宋_GB2312" w:eastAsia="仿宋_GB2312"/>
          <w:sz w:val="32"/>
          <w:szCs w:val="32"/>
        </w:rPr>
        <w:t>单位价值</w:t>
      </w:r>
      <w:r>
        <w:rPr>
          <w:rFonts w:ascii="仿宋_GB2312" w:eastAsia="仿宋_GB2312"/>
          <w:sz w:val="32"/>
          <w:szCs w:val="32"/>
        </w:rPr>
        <w:t>50</w:t>
      </w:r>
      <w:r>
        <w:rPr>
          <w:rFonts w:hint="eastAsia" w:ascii="仿宋_GB2312" w:eastAsia="仿宋_GB2312"/>
          <w:sz w:val="32"/>
          <w:szCs w:val="32"/>
        </w:rPr>
        <w:t>万元以上的设备</w:t>
      </w:r>
      <w:r>
        <w:rPr>
          <w:rFonts w:ascii="仿宋_GB2312" w:eastAsia="仿宋_GB2312"/>
          <w:sz w:val="32"/>
          <w:szCs w:val="32"/>
        </w:rPr>
        <w:t>938</w:t>
      </w:r>
      <w:r>
        <w:rPr>
          <w:rFonts w:hint="eastAsia" w:ascii="仿宋_GB2312" w:eastAsia="仿宋_GB2312"/>
          <w:sz w:val="32"/>
          <w:szCs w:val="32"/>
        </w:rPr>
        <w:t>台（套）、共计</w:t>
      </w:r>
      <w:r>
        <w:rPr>
          <w:rFonts w:ascii="仿宋_GB2312" w:eastAsia="仿宋_GB2312"/>
          <w:sz w:val="32"/>
          <w:szCs w:val="32"/>
        </w:rPr>
        <w:t>143962.28</w:t>
      </w:r>
      <w:r>
        <w:rPr>
          <w:rFonts w:hint="eastAsia" w:ascii="仿宋_GB2312" w:eastAsia="仿宋_GB2312"/>
          <w:sz w:val="32"/>
          <w:szCs w:val="32"/>
        </w:rPr>
        <w:t>万元</w:t>
      </w:r>
      <w:r>
        <w:rPr>
          <w:rFonts w:hint="eastAsia" w:ascii="仿宋_GB2312" w:eastAsia="仿宋_GB2312"/>
          <w:color w:val="000000"/>
          <w:sz w:val="32"/>
          <w:szCs w:val="32"/>
        </w:rPr>
        <w:t>。2024年预算安排中，购置单位价值50万元以上的设备</w:t>
      </w:r>
      <w:r>
        <w:rPr>
          <w:rFonts w:ascii="仿宋_GB2312" w:eastAsia="仿宋_GB2312"/>
          <w:color w:val="000000"/>
          <w:sz w:val="32"/>
          <w:szCs w:val="32"/>
        </w:rPr>
        <w:t>2</w:t>
      </w:r>
      <w:r>
        <w:rPr>
          <w:rFonts w:hint="eastAsia" w:ascii="仿宋_GB2312" w:eastAsia="仿宋_GB2312"/>
          <w:color w:val="000000"/>
          <w:sz w:val="32"/>
          <w:szCs w:val="32"/>
        </w:rPr>
        <w:t>台（套），共计</w:t>
      </w:r>
      <w:r>
        <w:rPr>
          <w:rFonts w:ascii="仿宋_GB2312" w:eastAsia="仿宋_GB2312"/>
          <w:color w:val="000000"/>
          <w:sz w:val="32"/>
          <w:szCs w:val="32"/>
        </w:rPr>
        <w:t>880.64</w:t>
      </w:r>
      <w:r>
        <w:rPr>
          <w:rFonts w:hint="eastAsia" w:ascii="仿宋_GB2312" w:eastAsia="仿宋_GB2312"/>
          <w:color w:val="000000"/>
          <w:sz w:val="32"/>
          <w:szCs w:val="32"/>
        </w:rPr>
        <w:t>万元。</w:t>
      </w:r>
    </w:p>
    <w:p>
      <w:pPr>
        <w:spacing w:line="54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br w:type="page"/>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w:t>
      </w:r>
      <w:r>
        <w:rPr>
          <w:rFonts w:ascii="方正小标宋简体" w:eastAsia="方正小标宋简体"/>
          <w:color w:val="000000"/>
          <w:sz w:val="36"/>
          <w:szCs w:val="36"/>
        </w:rPr>
        <w:t xml:space="preserve">  2024</w:t>
      </w:r>
      <w:r>
        <w:rPr>
          <w:rFonts w:hint="eastAsia" w:ascii="方正小标宋简体" w:eastAsia="方正小标宋简体"/>
          <w:color w:val="000000"/>
          <w:sz w:val="36"/>
          <w:szCs w:val="36"/>
        </w:rPr>
        <w:t>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附件：北京工业大学</w:t>
      </w:r>
      <w:r>
        <w:rPr>
          <w:rFonts w:ascii="仿宋_GB2312" w:eastAsia="仿宋_GB2312"/>
          <w:color w:val="000000"/>
          <w:sz w:val="32"/>
          <w:szCs w:val="32"/>
        </w:rPr>
        <w:t>2024</w:t>
      </w:r>
      <w:r>
        <w:rPr>
          <w:rFonts w:hint="eastAsia" w:ascii="仿宋_GB2312" w:eastAsia="仿宋_GB2312"/>
          <w:color w:val="000000"/>
          <w:sz w:val="32"/>
          <w:szCs w:val="32"/>
        </w:rPr>
        <w:t>年度单位预算报表</w:t>
      </w:r>
      <w:r>
        <w:rPr>
          <w:rFonts w:ascii="仿宋_GB2312" w:eastAsia="仿宋_GB2312" w:cs="宋体"/>
          <w:color w:val="000000"/>
          <w:kern w:val="0"/>
          <w:sz w:val="32"/>
          <w:szCs w:val="32"/>
          <w:lang w:val="zh-CN"/>
        </w:rPr>
        <w:t xml:space="preserve"> </w:t>
      </w:r>
    </w:p>
    <w:p>
      <w:pPr>
        <w:spacing w:line="560" w:lineRule="exact"/>
        <w:rPr>
          <w:rFonts w:ascii="仿宋_GB2312" w:eastAsia="仿宋_GB2312"/>
          <w:color w:val="000000"/>
          <w:sz w:val="32"/>
          <w:szCs w:val="32"/>
        </w:rPr>
      </w:pPr>
    </w:p>
    <w:p>
      <w:pPr>
        <w:rPr>
          <w:rFonts w:ascii="仿宋_GB2312" w:eastAsia="仿宋_GB2312"/>
          <w:sz w:val="32"/>
          <w:szCs w:val="32"/>
        </w:rPr>
      </w:pPr>
      <w:bookmarkStart w:id="0" w:name="chaosong"/>
      <w:bookmarkEnd w:id="0"/>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华文中宋"/>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方正仿宋_GBK"/>
    <w:panose1 w:val="00000000000000000000"/>
    <w:charset w:val="86"/>
    <w:family w:val="auto"/>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445135" cy="230505"/>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m84hJ9EAAAADAQAADwAAAAAAAAABACAAAAA4AAAAZHJz&#10;L2Rvd25yZXYueG1sUEsBAhQAFAAAAAgAh07iQHwHquL1AQAAwQMAAA4AAAAAAAAAAQAgAAAANgEA&#10;AGRycy9lMm9Eb2MueG1sUEsFBgAAAAAGAAYAWQEAAJ0FA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F79"/>
    <w:rsid w:val="00072998"/>
    <w:rsid w:val="00154FAD"/>
    <w:rsid w:val="001C1FA6"/>
    <w:rsid w:val="00216475"/>
    <w:rsid w:val="00316A34"/>
    <w:rsid w:val="0032325C"/>
    <w:rsid w:val="00344175"/>
    <w:rsid w:val="0038530B"/>
    <w:rsid w:val="003872C1"/>
    <w:rsid w:val="0042678A"/>
    <w:rsid w:val="0047397A"/>
    <w:rsid w:val="004C7A72"/>
    <w:rsid w:val="006C6A3A"/>
    <w:rsid w:val="006F3CD8"/>
    <w:rsid w:val="00797F79"/>
    <w:rsid w:val="007B33F2"/>
    <w:rsid w:val="008475CF"/>
    <w:rsid w:val="008A2E8D"/>
    <w:rsid w:val="008E545B"/>
    <w:rsid w:val="00921018"/>
    <w:rsid w:val="009F505C"/>
    <w:rsid w:val="00A25673"/>
    <w:rsid w:val="00A433A8"/>
    <w:rsid w:val="00A70BC4"/>
    <w:rsid w:val="00A7640A"/>
    <w:rsid w:val="00B16A8F"/>
    <w:rsid w:val="00B70548"/>
    <w:rsid w:val="00B7369C"/>
    <w:rsid w:val="00B768DB"/>
    <w:rsid w:val="00BC23AB"/>
    <w:rsid w:val="00BC57EE"/>
    <w:rsid w:val="00C100A6"/>
    <w:rsid w:val="00C53DB3"/>
    <w:rsid w:val="00C61D47"/>
    <w:rsid w:val="00CC1A9F"/>
    <w:rsid w:val="00D00D54"/>
    <w:rsid w:val="00E67F8D"/>
    <w:rsid w:val="00E837B9"/>
    <w:rsid w:val="00EA27F1"/>
    <w:rsid w:val="00EA379B"/>
    <w:rsid w:val="00F3750C"/>
    <w:rsid w:val="00FE3351"/>
    <w:rsid w:val="00FE433E"/>
    <w:rsid w:val="00FF62EB"/>
    <w:rsid w:val="01DE318D"/>
    <w:rsid w:val="0EFFF08B"/>
    <w:rsid w:val="1556FFE7"/>
    <w:rsid w:val="1E2F585A"/>
    <w:rsid w:val="1FB9016F"/>
    <w:rsid w:val="1FE6D21C"/>
    <w:rsid w:val="23735A5C"/>
    <w:rsid w:val="24D1796E"/>
    <w:rsid w:val="2F7EA178"/>
    <w:rsid w:val="2FF31CCC"/>
    <w:rsid w:val="33BF5DDC"/>
    <w:rsid w:val="37BFBFEE"/>
    <w:rsid w:val="37F59273"/>
    <w:rsid w:val="37FD2E23"/>
    <w:rsid w:val="396430B4"/>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2AB6361"/>
    <w:rsid w:val="48D44964"/>
    <w:rsid w:val="49D9AF9C"/>
    <w:rsid w:val="4CD68066"/>
    <w:rsid w:val="4E67CE40"/>
    <w:rsid w:val="4F6D150F"/>
    <w:rsid w:val="4FEE37C7"/>
    <w:rsid w:val="517E78AA"/>
    <w:rsid w:val="53DF3E7F"/>
    <w:rsid w:val="545DF6FA"/>
    <w:rsid w:val="55DE48F6"/>
    <w:rsid w:val="57ADBE82"/>
    <w:rsid w:val="57E332DD"/>
    <w:rsid w:val="57E9CD93"/>
    <w:rsid w:val="57EB425A"/>
    <w:rsid w:val="59D7A30C"/>
    <w:rsid w:val="5BEE7D82"/>
    <w:rsid w:val="5BFC36A8"/>
    <w:rsid w:val="5F5F35ED"/>
    <w:rsid w:val="5FB4B9F0"/>
    <w:rsid w:val="5FD532B6"/>
    <w:rsid w:val="5FE95128"/>
    <w:rsid w:val="5FFFD6B5"/>
    <w:rsid w:val="67BF653D"/>
    <w:rsid w:val="67FBD21B"/>
    <w:rsid w:val="69CDDFC6"/>
    <w:rsid w:val="6AFBD4E9"/>
    <w:rsid w:val="6BFE087F"/>
    <w:rsid w:val="6BFF83C2"/>
    <w:rsid w:val="6C5F4E7D"/>
    <w:rsid w:val="6D3F2E98"/>
    <w:rsid w:val="6DFE07CC"/>
    <w:rsid w:val="6DFFB2B9"/>
    <w:rsid w:val="6ECB6C3E"/>
    <w:rsid w:val="6F3A9571"/>
    <w:rsid w:val="6FCDA027"/>
    <w:rsid w:val="6FDC8289"/>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B2E7344"/>
    <w:rsid w:val="7B503CA9"/>
    <w:rsid w:val="7B5B4466"/>
    <w:rsid w:val="7B8DB0E0"/>
    <w:rsid w:val="7BD7C5D4"/>
    <w:rsid w:val="7BDE2E6D"/>
    <w:rsid w:val="7BFAEA32"/>
    <w:rsid w:val="7C9BB5BA"/>
    <w:rsid w:val="7D629DCE"/>
    <w:rsid w:val="7D7E1C9B"/>
    <w:rsid w:val="7DAF9F6F"/>
    <w:rsid w:val="7DDF7761"/>
    <w:rsid w:val="7DFBA975"/>
    <w:rsid w:val="7E7F7957"/>
    <w:rsid w:val="7EBE6155"/>
    <w:rsid w:val="7F3BE6B0"/>
    <w:rsid w:val="7F3F94D5"/>
    <w:rsid w:val="7F3FC408"/>
    <w:rsid w:val="7F7AD461"/>
    <w:rsid w:val="7F9BB94C"/>
    <w:rsid w:val="7FB5D6F6"/>
    <w:rsid w:val="7FCD88E5"/>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9C511BB"/>
    <w:rsid w:val="B9E3AE77"/>
    <w:rsid w:val="B9FF9DD8"/>
    <w:rsid w:val="BA8DB816"/>
    <w:rsid w:val="BB7F4D3C"/>
    <w:rsid w:val="BBAFC879"/>
    <w:rsid w:val="BBFDC091"/>
    <w:rsid w:val="BC3FB194"/>
    <w:rsid w:val="BC93032D"/>
    <w:rsid w:val="BCDC4AFD"/>
    <w:rsid w:val="BEEF0D30"/>
    <w:rsid w:val="BEFF6650"/>
    <w:rsid w:val="BF7B23E6"/>
    <w:rsid w:val="BFBFE194"/>
    <w:rsid w:val="BFCFAEF2"/>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F30CE"/>
    <w:rsid w:val="EFFD6B90"/>
    <w:rsid w:val="EFFF9813"/>
    <w:rsid w:val="F279611C"/>
    <w:rsid w:val="F3F77884"/>
    <w:rsid w:val="F54BAC81"/>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4037;&#20316;\0306-&#39044;&#31639;&#20844;&#24320;&#23457;&#26680;\0306&#12289;&#21518;10&#25152;\2024&#24180;&#39044;&#31639;&#20844;&#24320;&#24213;&#31295;-&#39640;&#26657;&#3245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Documents\Project\&#39044;&#20915;&#31639;&#25253;&#21578;\&#39044;&#31639;&#20449;&#24687;&#20844;&#24320;\2024%20&#39044;&#31639;&#20449;&#24687;&#20844;&#24320;\2024&#39044;&#31639;&#20449;&#24687;&#20844;&#2432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收入预算</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Lbls>
            <c:dLbl>
              <c:idx val="1"/>
              <c:layout>
                <c:manualLayout>
                  <c:x val="-0.0282090383354042"/>
                  <c:y val="-0.093488157018768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179323923098618"/>
                  <c:y val="-0.065888838887311"/>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4"/>
              <c:layout>
                <c:manualLayout>
                  <c:x val="-0.0190262718100414"/>
                  <c:y val="0.0493505937429524"/>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'[2024年预算公开底稿-高校组.xlsx]收入对比（新）'!$C$57:$C$64</c:f>
              <c:strCache>
                <c:ptCount val="7"/>
                <c:pt idx="0">
                  <c:v>一般公共预算拨款收入</c:v>
                </c:pt>
                <c:pt idx="1">
                  <c:v>政府性基金预算拨款收入</c:v>
                </c:pt>
                <c:pt idx="2">
                  <c:v>财政专户管理资金收入</c:v>
                </c:pt>
                <c:pt idx="3">
                  <c:v>事业收入</c:v>
                </c:pt>
                <c:pt idx="4">
                  <c:v>事业单位经营收入</c:v>
                </c:pt>
                <c:pt idx="5">
                  <c:v>其他收入</c:v>
                </c:pt>
                <c:pt idx="6">
                  <c:v>上年结转结余</c:v>
                </c:pt>
              </c:strCache>
            </c:strRef>
          </c:cat>
          <c:val>
            <c:numRef>
              <c:f>'[2024年预算公开底稿-高校组.xlsx]收入对比（新）'!$D$57:$D$64</c:f>
              <c:numCache>
                <c:formatCode>0.00_ </c:formatCode>
                <c:ptCount val="7"/>
                <c:pt idx="0">
                  <c:v>197987.652994</c:v>
                </c:pt>
                <c:pt idx="1">
                  <c:v>25.9</c:v>
                </c:pt>
                <c:pt idx="2">
                  <c:v>21828.5524</c:v>
                </c:pt>
                <c:pt idx="3">
                  <c:v>74898.3641</c:v>
                </c:pt>
                <c:pt idx="4">
                  <c:v>3650.459</c:v>
                </c:pt>
                <c:pt idx="5">
                  <c:v>8772.76</c:v>
                </c:pt>
                <c:pt idx="6">
                  <c:v>171195.613091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309879702537183"/>
          <c:y val="0.124208366462336"/>
          <c:w val="0.388888888888889"/>
          <c:h val="0.608034744842562"/>
        </c:manualLayout>
      </c:layout>
      <c:pieChart>
        <c:varyColors val="true"/>
        <c:ser>
          <c:idx val="0"/>
          <c:order val="0"/>
          <c:spPr/>
          <c:explosion val="0"/>
          <c:dPt>
            <c:idx val="0"/>
            <c:bubble3D val="false"/>
            <c:spPr>
              <a:solidFill>
                <a:schemeClr val="accent1"/>
              </a:solidFill>
              <a:ln w="0">
                <a:solidFill>
                  <a:schemeClr val="lt1"/>
                </a:solidFill>
              </a:ln>
              <a:effectLst/>
            </c:spPr>
          </c:dPt>
          <c:dPt>
            <c:idx val="1"/>
            <c:bubble3D val="false"/>
            <c:spPr>
              <a:solidFill>
                <a:schemeClr val="accent2"/>
              </a:solidFill>
              <a:ln w="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bg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'2024预算公开'!$N$21:$N$22</c:f>
              <c:strCache>
                <c:ptCount val="2"/>
                <c:pt idx="0">
                  <c:v>基本支出</c:v>
                </c:pt>
                <c:pt idx="1">
                  <c:v>项目支出</c:v>
                </c:pt>
              </c:strCache>
            </c:strRef>
          </c:cat>
          <c:val>
            <c:numRef>
              <c:f>'2024预算公开'!$O$21:$O$22</c:f>
              <c:numCache>
                <c:formatCode>_(* #,##0.00_);_(* \(#,##0.00\);_(* "-"??_);_(@_)</c:formatCode>
                <c:ptCount val="2"/>
                <c:pt idx="0">
                  <c:v>328558.55</c:v>
                </c:pt>
                <c:pt idx="1">
                  <c:v>24800.75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manualLayout>
          <c:xMode val="edge"/>
          <c:yMode val="edge"/>
          <c:x val="0.341981846019248"/>
          <c:y val="0.81045102491023"/>
          <c:w val="0.341351487314086"/>
          <c:h val="0.156251093613298"/>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2754</Words>
  <Characters>3187</Characters>
  <Lines>23</Lines>
  <Paragraphs>6</Paragraphs>
  <TotalTime>4</TotalTime>
  <ScaleCrop>false</ScaleCrop>
  <LinksUpToDate>false</LinksUpToDate>
  <CharactersWithSpaces>3214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2024-03-06T00:21:00Z</dcterms:created>
  <dc:creator>马荣丽</dc:creator>
  <cp:lastModifiedBy>18500299229</cp:lastModifiedBy>
  <cp:lastPrinted>2024-02-21T17:18:00Z</cp:lastPrinted>
  <dcterms:modified xsi:type="dcterms:W3CDTF">2024-03-11T17:23:20Z</dcterms:modified>
  <dc:title>处领导：</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BD18CBCE778FBC28FA28BA6547FDD7CF</vt:lpwstr>
  </property>
</Properties>
</file>