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31A36" w14:textId="77777777" w:rsidR="00014483" w:rsidRDefault="00014483">
      <w:pPr>
        <w:pStyle w:val="2"/>
        <w:spacing w:line="240" w:lineRule="exact"/>
      </w:pPr>
    </w:p>
    <w:p w14:paraId="7ED867C4" w14:textId="77777777" w:rsidR="00EC2104" w:rsidRDefault="00000000">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北京市数字教育中心（北京电化教育馆）</w:t>
      </w:r>
    </w:p>
    <w:p w14:paraId="3F217EF5" w14:textId="20E4A69C" w:rsidR="00014483" w:rsidRDefault="00000000">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2023年财政预算信息公开</w:t>
      </w:r>
    </w:p>
    <w:p w14:paraId="031041DE" w14:textId="77777777" w:rsidR="00014483" w:rsidRDefault="00014483">
      <w:pPr>
        <w:spacing w:line="240" w:lineRule="exact"/>
        <w:jc w:val="center"/>
        <w:rPr>
          <w:rFonts w:ascii="方正小标宋简体" w:eastAsia="方正小标宋简体"/>
          <w:color w:val="000000"/>
          <w:sz w:val="32"/>
          <w:szCs w:val="32"/>
        </w:rPr>
      </w:pPr>
    </w:p>
    <w:p w14:paraId="21BB925B" w14:textId="77777777" w:rsidR="00014483" w:rsidRDefault="00000000">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14:paraId="33EA6316" w14:textId="77777777" w:rsidR="00014483" w:rsidRDefault="00014483">
      <w:pPr>
        <w:spacing w:line="240" w:lineRule="exact"/>
        <w:jc w:val="center"/>
        <w:rPr>
          <w:rFonts w:ascii="方正小标宋简体" w:eastAsia="方正小标宋简体"/>
          <w:color w:val="000000"/>
          <w:sz w:val="32"/>
          <w:szCs w:val="32"/>
        </w:rPr>
      </w:pPr>
    </w:p>
    <w:p w14:paraId="41E80C0C" w14:textId="77777777" w:rsidR="00014483" w:rsidRDefault="00000000">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2023年度单位预算情况说明</w:t>
      </w:r>
    </w:p>
    <w:p w14:paraId="7E230604" w14:textId="77777777" w:rsidR="00014483" w:rsidRDefault="00000000">
      <w:pPr>
        <w:spacing w:line="560" w:lineRule="exact"/>
        <w:ind w:firstLineChars="200" w:firstLine="640"/>
        <w:rPr>
          <w:rFonts w:ascii="仿宋_GB2312" w:eastAsia="仿宋_GB2312" w:hAnsi="仿宋_GB2312" w:cs="仿宋_GB2312"/>
          <w:color w:val="000000"/>
          <w:sz w:val="32"/>
          <w:szCs w:val="32"/>
          <w:lang w:val="en"/>
        </w:rPr>
      </w:pPr>
      <w:r>
        <w:rPr>
          <w:rFonts w:ascii="仿宋_GB2312" w:eastAsia="仿宋_GB2312" w:hAnsi="仿宋_GB2312" w:cs="仿宋_GB2312" w:hint="eastAsia"/>
          <w:color w:val="000000"/>
          <w:sz w:val="32"/>
          <w:szCs w:val="32"/>
        </w:rPr>
        <w:t>一、单位情况说明</w:t>
      </w:r>
    </w:p>
    <w:p w14:paraId="20AAC99B" w14:textId="77777777" w:rsidR="00014483"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14:paraId="5305066A" w14:textId="77777777" w:rsidR="00014483"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14:paraId="02D3F8D0" w14:textId="77777777" w:rsidR="00014483"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14:paraId="18FCF10C" w14:textId="77777777" w:rsidR="00014483"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14:paraId="3AB816A7" w14:textId="77777777" w:rsidR="00014483"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14:paraId="4349E57A" w14:textId="77777777" w:rsidR="00014483" w:rsidRDefault="00000000">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2023年度单位预算报表</w:t>
      </w:r>
    </w:p>
    <w:p w14:paraId="04F546E0" w14:textId="77777777" w:rsidR="00014483"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14:paraId="50ACB2C6" w14:textId="77777777" w:rsidR="00014483"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二、收入总表</w:t>
      </w:r>
    </w:p>
    <w:p w14:paraId="0C534700" w14:textId="77777777" w:rsidR="00014483" w:rsidRDefault="00000000">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14:paraId="71D78225" w14:textId="77777777" w:rsidR="00014483" w:rsidRDefault="00000000">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14:paraId="73A8B9A7" w14:textId="77777777" w:rsidR="00014483" w:rsidRDefault="00000000">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14:paraId="2AE73162" w14:textId="77777777" w:rsidR="00014483"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14:paraId="025E3DDE" w14:textId="77777777" w:rsidR="00014483"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七、一般公共预算财政拨款支出表</w:t>
      </w:r>
    </w:p>
    <w:p w14:paraId="74782923" w14:textId="77777777" w:rsidR="00014483" w:rsidRDefault="00000000">
      <w:pPr>
        <w:autoSpaceDE w:val="0"/>
        <w:autoSpaceDN w:val="0"/>
        <w:adjustRightInd w:val="0"/>
        <w:spacing w:line="560" w:lineRule="exact"/>
        <w:ind w:firstLineChars="200" w:firstLine="576"/>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spacing w:val="-16"/>
          <w:kern w:val="0"/>
          <w:sz w:val="32"/>
          <w:szCs w:val="32"/>
          <w:lang w:val="zh-CN"/>
        </w:rPr>
        <w:t>八、一般公共预算财政拨款基本支出表</w:t>
      </w:r>
    </w:p>
    <w:p w14:paraId="40CF2C76" w14:textId="77777777" w:rsidR="00014483"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14:paraId="66E9884D" w14:textId="77777777" w:rsidR="00014483"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14:paraId="281EDF38" w14:textId="77777777" w:rsidR="00014483" w:rsidRDefault="00000000">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14:paraId="43663ABD" w14:textId="77777777" w:rsidR="00014483" w:rsidRDefault="00000000">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lastRenderedPageBreak/>
        <w:t>十二、政府购买服务预算财政拨款明细表</w:t>
      </w:r>
    </w:p>
    <w:p w14:paraId="43E844DE" w14:textId="77777777" w:rsidR="00014483" w:rsidRDefault="00000000">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sectPr w:rsidR="00014483">
          <w:footerReference w:type="default" r:id="rId8"/>
          <w:pgSz w:w="11906" w:h="16838"/>
          <w:pgMar w:top="1440" w:right="1800" w:bottom="1440" w:left="1800" w:header="851" w:footer="992" w:gutter="0"/>
          <w:pgNumType w:fmt="numberInDash"/>
          <w:cols w:space="720"/>
          <w:docGrid w:type="lines" w:linePitch="312"/>
        </w:sectPr>
      </w:pPr>
      <w:r>
        <w:rPr>
          <w:rFonts w:ascii="仿宋_GB2312" w:eastAsia="仿宋_GB2312" w:hAnsi="仿宋_GB2312" w:cs="仿宋_GB2312" w:hint="eastAsia"/>
          <w:color w:val="000000"/>
          <w:kern w:val="0"/>
          <w:sz w:val="32"/>
          <w:szCs w:val="32"/>
          <w:lang w:val="zh-CN"/>
        </w:rPr>
        <w:t>十三、项目支出绩效目标表</w:t>
      </w:r>
    </w:p>
    <w:p w14:paraId="40A6DB2E" w14:textId="77777777" w:rsidR="00014483" w:rsidRDefault="00014483">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p>
    <w:p w14:paraId="5C334814" w14:textId="77777777" w:rsidR="00014483" w:rsidRDefault="00000000">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t>第一部分  2023年度单位预算情况说明</w:t>
      </w:r>
    </w:p>
    <w:p w14:paraId="36611556" w14:textId="77777777" w:rsidR="00014483" w:rsidRDefault="00014483">
      <w:pPr>
        <w:spacing w:line="360" w:lineRule="auto"/>
        <w:rPr>
          <w:rFonts w:ascii="仿宋_GB2312" w:eastAsia="仿宋_GB2312"/>
          <w:color w:val="000000"/>
          <w:sz w:val="32"/>
          <w:szCs w:val="32"/>
        </w:rPr>
      </w:pPr>
    </w:p>
    <w:p w14:paraId="457C5790" w14:textId="77777777" w:rsidR="00014483" w:rsidRDefault="00000000">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14:paraId="4E38088D" w14:textId="77777777" w:rsidR="00014483"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14:paraId="56ACEFE0" w14:textId="76521492" w:rsidR="00014483" w:rsidRDefault="00000000" w:rsidP="00C516CA">
      <w:pPr>
        <w:spacing w:line="572" w:lineRule="exact"/>
        <w:ind w:firstLine="640"/>
      </w:pPr>
      <w:r>
        <w:rPr>
          <w:rFonts w:ascii="仿宋_GB2312" w:eastAsia="仿宋_GB2312" w:hint="eastAsia"/>
          <w:sz w:val="32"/>
          <w:szCs w:val="32"/>
        </w:rPr>
        <w:t>北京市数字教育中心</w:t>
      </w:r>
      <w:r>
        <w:rPr>
          <w:rFonts w:ascii="仿宋_GB2312" w:eastAsia="仿宋_GB2312"/>
          <w:color w:val="000000"/>
          <w:sz w:val="32"/>
          <w:szCs w:val="32"/>
        </w:rPr>
        <w:t>（北京电化教育馆）</w:t>
      </w:r>
      <w:r>
        <w:rPr>
          <w:rFonts w:ascii="仿宋_GB2312" w:eastAsia="仿宋_GB2312" w:hint="eastAsia"/>
          <w:sz w:val="32"/>
          <w:szCs w:val="32"/>
        </w:rPr>
        <w:t>为公益一类事业单位。主要职责是</w:t>
      </w:r>
      <w:r>
        <w:rPr>
          <w:rFonts w:ascii="仿宋_GB2312" w:eastAsia="仿宋_GB2312"/>
          <w:sz w:val="32"/>
          <w:szCs w:val="32"/>
        </w:rPr>
        <w:t>：</w:t>
      </w:r>
      <w:r>
        <w:rPr>
          <w:rFonts w:ascii="仿宋_GB2312" w:eastAsia="仿宋_GB2312"/>
          <w:color w:val="000000"/>
          <w:sz w:val="32"/>
          <w:szCs w:val="32"/>
        </w:rPr>
        <w:t>承担本市数字教育相关工作，开展办学条件、实验室与图书装备研究。坚持创新发展理念，推进教育新型基础设施建设，做好支撑保障与服务，整合优质教育教学资源，探索互联网加教育新模式，推动信息技术与教育教学融合创新，包括：开展数字教育技术、新时代办学条件装备的规划研究、标准建设及业务推进工作；统筹市级教育信息系统建设、管理、应用及数据服务等工作；承担市级教育专网、北京市教育云等新型基础设施建设及管理工作；承担市教委网络安全保障工作，指导市教委所属教育单位及区教委开展网络安全相关工作；承担教育两委电子政务技术支持及服务保障工作；负责信息技术与教育教学融合创新、教育新装备评估论证及示范推广；统筹全市教育系统数字教育资源建设、管理、应用及服务等工作；负责全市教育系统教育技术培训及服务支持工作，推动信息技术、装备应用及实验教学专业能力提升；开展办学条件、中小学实验室、专用教室、图书馆装备研究与推广，运用信息化手段进行装备统计分析、使用绩效监测等工作；完成教育两委交办的其它工作。</w:t>
      </w:r>
    </w:p>
    <w:p w14:paraId="437B385F" w14:textId="77777777" w:rsidR="00014483" w:rsidRDefault="00000000">
      <w:pPr>
        <w:numPr>
          <w:ilvl w:val="0"/>
          <w:numId w:val="1"/>
        </w:num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lastRenderedPageBreak/>
        <w:t>机构设置情况</w:t>
      </w:r>
    </w:p>
    <w:p w14:paraId="692E5FBD" w14:textId="6264E1DF" w:rsidR="00014483" w:rsidRDefault="00000000" w:rsidP="0054063D">
      <w:pPr>
        <w:widowControl/>
        <w:ind w:firstLineChars="200" w:firstLine="640"/>
        <w:rPr>
          <w:rFonts w:ascii="仿宋_GB2312" w:eastAsia="仿宋_GB2312"/>
          <w:sz w:val="32"/>
          <w:szCs w:val="32"/>
        </w:rPr>
      </w:pPr>
      <w:r>
        <w:rPr>
          <w:rFonts w:ascii="仿宋_GB2312" w:eastAsia="仿宋_GB2312" w:hint="eastAsia"/>
          <w:sz w:val="32"/>
          <w:szCs w:val="32"/>
        </w:rPr>
        <w:t>北京市数字教育中心（北京电化教育馆）内设13个部门，</w:t>
      </w:r>
      <w:r w:rsidR="0078662A">
        <w:rPr>
          <w:rFonts w:ascii="仿宋_GB2312" w:eastAsia="仿宋_GB2312" w:hint="eastAsia"/>
          <w:sz w:val="32"/>
          <w:szCs w:val="32"/>
        </w:rPr>
        <w:t>分别为：</w:t>
      </w:r>
      <w:r>
        <w:rPr>
          <w:rFonts w:ascii="仿宋_GB2312" w:eastAsia="仿宋_GB2312" w:hint="eastAsia"/>
          <w:sz w:val="32"/>
          <w:szCs w:val="32"/>
        </w:rPr>
        <w:t>党政办公室、数字教育研究推广部、资源建设与服务部、系统建设部、数据服务部、运行保障部、项目管理部、装备标准部、装备应用部、网络安全部、业务支持部、财务管理部、后勤服务部。</w:t>
      </w:r>
    </w:p>
    <w:p w14:paraId="331BBD96" w14:textId="77777777" w:rsidR="00014483" w:rsidRDefault="00000000" w:rsidP="0054063D">
      <w:pPr>
        <w:widowControl/>
        <w:ind w:firstLineChars="200" w:firstLine="640"/>
        <w:rPr>
          <w:rFonts w:ascii="仿宋_GB2312" w:eastAsia="仿宋_GB2312"/>
          <w:sz w:val="32"/>
          <w:szCs w:val="32"/>
        </w:rPr>
      </w:pPr>
      <w:r>
        <w:rPr>
          <w:rFonts w:ascii="仿宋_GB2312" w:eastAsia="仿宋_GB2312" w:hint="eastAsia"/>
          <w:sz w:val="32"/>
          <w:szCs w:val="32"/>
        </w:rPr>
        <w:t>北京市数字教育中心（北京电化教育馆）包括1个预算单位，即北京市数字教育中心（北京电化教育馆）（本级）。</w:t>
      </w:r>
    </w:p>
    <w:p w14:paraId="4A44FADC" w14:textId="77777777" w:rsidR="00014483" w:rsidRDefault="00000000">
      <w:pPr>
        <w:widowControl/>
        <w:ind w:firstLineChars="200" w:firstLine="640"/>
        <w:jc w:val="left"/>
        <w:rPr>
          <w:rFonts w:ascii="楷体_GB2312" w:eastAsia="楷体_GB2312"/>
          <w:color w:val="000000"/>
          <w:sz w:val="32"/>
          <w:szCs w:val="32"/>
        </w:rPr>
      </w:pPr>
      <w:r>
        <w:rPr>
          <w:rFonts w:ascii="楷体_GB2312" w:eastAsia="楷体_GB2312" w:hint="eastAsia"/>
          <w:color w:val="000000"/>
          <w:sz w:val="32"/>
          <w:szCs w:val="32"/>
        </w:rPr>
        <w:t>（三）人员编制及实有情况</w:t>
      </w:r>
    </w:p>
    <w:p w14:paraId="53589BD1" w14:textId="1EF08986" w:rsidR="00014483" w:rsidRDefault="00000000">
      <w:pPr>
        <w:spacing w:line="560" w:lineRule="exact"/>
        <w:ind w:firstLineChars="200" w:firstLine="640"/>
      </w:pPr>
      <w:r>
        <w:rPr>
          <w:rFonts w:ascii="仿宋_GB2312" w:eastAsia="仿宋_GB2312" w:hint="eastAsia"/>
          <w:sz w:val="32"/>
          <w:szCs w:val="32"/>
        </w:rPr>
        <w:t>北京市数字教育中心</w:t>
      </w:r>
      <w:r>
        <w:rPr>
          <w:rFonts w:ascii="仿宋_GB2312" w:eastAsia="仿宋_GB2312"/>
          <w:color w:val="000000"/>
          <w:sz w:val="32"/>
          <w:szCs w:val="32"/>
        </w:rPr>
        <w:t>（北京电化教育馆）</w:t>
      </w:r>
      <w:r w:rsidR="004F744B" w:rsidRPr="004F744B">
        <w:rPr>
          <w:rFonts w:ascii="仿宋_GB2312" w:eastAsia="仿宋_GB2312" w:hint="eastAsia"/>
          <w:color w:val="000000"/>
          <w:sz w:val="32"/>
          <w:szCs w:val="32"/>
        </w:rPr>
        <w:t>行政编制0人，实有人数0人；</w:t>
      </w:r>
      <w:r>
        <w:rPr>
          <w:rFonts w:ascii="仿宋_GB2312" w:eastAsia="仿宋_GB2312" w:hint="eastAsia"/>
          <w:color w:val="000000"/>
          <w:sz w:val="32"/>
          <w:szCs w:val="32"/>
        </w:rPr>
        <w:t>事业编制105人，实有人数80人；</w:t>
      </w:r>
      <w:r>
        <w:rPr>
          <w:rFonts w:ascii="仿宋_GB2312" w:eastAsia="仿宋_GB2312"/>
          <w:color w:val="000000"/>
          <w:sz w:val="32"/>
          <w:szCs w:val="32"/>
        </w:rPr>
        <w:t>离退休</w:t>
      </w:r>
      <w:r w:rsidR="002F6985">
        <w:rPr>
          <w:rFonts w:ascii="仿宋_GB2312" w:eastAsia="仿宋_GB2312" w:hint="eastAsia"/>
          <w:color w:val="000000"/>
          <w:sz w:val="32"/>
          <w:szCs w:val="32"/>
        </w:rPr>
        <w:t>人员</w:t>
      </w:r>
      <w:r>
        <w:rPr>
          <w:rFonts w:ascii="仿宋_GB2312" w:eastAsia="仿宋_GB2312" w:hint="eastAsia"/>
          <w:color w:val="000000"/>
          <w:sz w:val="32"/>
          <w:szCs w:val="32"/>
        </w:rPr>
        <w:t>90</w:t>
      </w:r>
      <w:r>
        <w:rPr>
          <w:rFonts w:ascii="仿宋_GB2312" w:eastAsia="仿宋_GB2312"/>
          <w:color w:val="000000"/>
          <w:sz w:val="32"/>
          <w:szCs w:val="32"/>
        </w:rPr>
        <w:t>人，其中：离休1人，退休</w:t>
      </w:r>
      <w:r>
        <w:rPr>
          <w:rFonts w:ascii="仿宋_GB2312" w:eastAsia="仿宋_GB2312" w:hint="eastAsia"/>
          <w:color w:val="000000"/>
          <w:sz w:val="32"/>
          <w:szCs w:val="32"/>
        </w:rPr>
        <w:t>89</w:t>
      </w:r>
      <w:r>
        <w:rPr>
          <w:rFonts w:ascii="仿宋_GB2312" w:eastAsia="仿宋_GB2312"/>
          <w:color w:val="000000"/>
          <w:sz w:val="32"/>
          <w:szCs w:val="32"/>
        </w:rPr>
        <w:t>人</w:t>
      </w:r>
      <w:r w:rsidR="004F744B">
        <w:rPr>
          <w:rFonts w:ascii="仿宋_GB2312" w:eastAsia="仿宋_GB2312" w:hint="eastAsia"/>
          <w:color w:val="000000"/>
          <w:sz w:val="32"/>
          <w:szCs w:val="32"/>
        </w:rPr>
        <w:t>；其他人员无</w:t>
      </w:r>
      <w:r>
        <w:rPr>
          <w:rFonts w:ascii="仿宋_GB2312" w:eastAsia="仿宋_GB2312"/>
          <w:color w:val="000000"/>
          <w:sz w:val="32"/>
          <w:szCs w:val="32"/>
        </w:rPr>
        <w:t>。</w:t>
      </w:r>
    </w:p>
    <w:p w14:paraId="095E8F39" w14:textId="77777777" w:rsidR="00014483" w:rsidRDefault="00000000">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14:paraId="0BA93F93" w14:textId="05845E4F" w:rsidR="00014483" w:rsidRDefault="00000000">
      <w:pPr>
        <w:spacing w:line="572" w:lineRule="exact"/>
        <w:ind w:firstLineChars="200" w:firstLine="640"/>
        <w:rPr>
          <w:rFonts w:ascii="仿宋" w:eastAsia="仿宋" w:hAnsi="仿宋" w:cs="仿宋"/>
          <w:sz w:val="32"/>
          <w:szCs w:val="32"/>
        </w:rPr>
      </w:pPr>
      <w:r>
        <w:rPr>
          <w:rFonts w:ascii="仿宋_GB2312" w:eastAsia="仿宋_GB2312" w:hint="eastAsia"/>
          <w:sz w:val="32"/>
          <w:szCs w:val="32"/>
        </w:rPr>
        <w:t>2023年度收入预算14,413.17万元，比2022年年初预算数</w:t>
      </w:r>
      <w:r>
        <w:rPr>
          <w:rFonts w:ascii="仿宋_GB2312" w:eastAsia="仿宋_GB2312" w:hint="eastAsia"/>
          <w:color w:val="000000"/>
          <w:sz w:val="32"/>
          <w:szCs w:val="32"/>
        </w:rPr>
        <w:t>14,185.34</w:t>
      </w:r>
      <w:r>
        <w:rPr>
          <w:rFonts w:ascii="仿宋_GB2312" w:eastAsia="仿宋_GB2312" w:hint="eastAsia"/>
          <w:sz w:val="32"/>
          <w:szCs w:val="32"/>
        </w:rPr>
        <w:t>万元增加227.83万元，增长1.61%。</w:t>
      </w:r>
      <w:r>
        <w:rPr>
          <w:rFonts w:ascii="仿宋" w:eastAsia="仿宋" w:hAnsi="仿宋" w:cs="仿宋" w:hint="eastAsia"/>
          <w:sz w:val="32"/>
          <w:szCs w:val="32"/>
        </w:rPr>
        <w:t>主要原因：</w:t>
      </w:r>
      <w:r w:rsidR="00E46B33">
        <w:rPr>
          <w:rFonts w:ascii="仿宋" w:eastAsia="仿宋" w:hAnsi="仿宋" w:cs="仿宋" w:hint="eastAsia"/>
          <w:sz w:val="32"/>
          <w:szCs w:val="32"/>
        </w:rPr>
        <w:t>一是落实人员</w:t>
      </w:r>
      <w:r w:rsidR="006C35E3">
        <w:rPr>
          <w:rFonts w:ascii="仿宋" w:eastAsia="仿宋" w:hAnsi="仿宋" w:cs="仿宋" w:hint="eastAsia"/>
          <w:sz w:val="32"/>
          <w:szCs w:val="32"/>
        </w:rPr>
        <w:t>工资</w:t>
      </w:r>
      <w:r w:rsidR="00F0640F">
        <w:rPr>
          <w:rFonts w:ascii="仿宋" w:eastAsia="仿宋" w:hAnsi="仿宋" w:cs="仿宋" w:hint="eastAsia"/>
          <w:sz w:val="32"/>
          <w:szCs w:val="32"/>
        </w:rPr>
        <w:t>等有关</w:t>
      </w:r>
      <w:r w:rsidR="00E46B33">
        <w:rPr>
          <w:rFonts w:ascii="仿宋" w:eastAsia="仿宋" w:hAnsi="仿宋" w:cs="仿宋" w:hint="eastAsia"/>
          <w:sz w:val="32"/>
          <w:szCs w:val="32"/>
        </w:rPr>
        <w:t>政策，人员经费有所增加；</w:t>
      </w:r>
      <w:r w:rsidR="00BE3EC6" w:rsidRPr="00BE3EC6">
        <w:rPr>
          <w:rFonts w:ascii="仿宋" w:eastAsia="仿宋" w:hAnsi="仿宋" w:cs="仿宋" w:hint="eastAsia"/>
          <w:sz w:val="32"/>
          <w:szCs w:val="32"/>
        </w:rPr>
        <w:t>二是根据事业发展需要调整项目安排。</w:t>
      </w:r>
    </w:p>
    <w:p w14:paraId="76F890EA"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（一）本年财政拨款收入14,014.86万元</w:t>
      </w:r>
    </w:p>
    <w:p w14:paraId="38DC48C9"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1.一般公共预算拨款收入14,014.86万元。</w:t>
      </w:r>
    </w:p>
    <w:p w14:paraId="75E11085"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2.政府性基金预算拨款收入0万元。</w:t>
      </w:r>
    </w:p>
    <w:p w14:paraId="5643C5C9"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3.国有资本经营预算拨款收入0万元。</w:t>
      </w:r>
    </w:p>
    <w:p w14:paraId="01079973"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（二）本年其他资金收入3万元</w:t>
      </w:r>
    </w:p>
    <w:p w14:paraId="1B9673B2"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4.财政专户管理资金收入0万元。</w:t>
      </w:r>
    </w:p>
    <w:p w14:paraId="75E13FDD"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5.事业收入0万元。</w:t>
      </w:r>
    </w:p>
    <w:p w14:paraId="5D5C0293"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6.上级补助收入0万元。</w:t>
      </w:r>
    </w:p>
    <w:p w14:paraId="2DDB983F"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7.附属单位上缴收入0万元。</w:t>
      </w:r>
    </w:p>
    <w:p w14:paraId="5C6C705E"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8.事业单位经营收入0万元。</w:t>
      </w:r>
    </w:p>
    <w:p w14:paraId="471FAAED"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9.其他收入3万元。</w:t>
      </w:r>
    </w:p>
    <w:p w14:paraId="24ED2BB4"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（三）上年结转结余395.31万元</w:t>
      </w:r>
    </w:p>
    <w:p w14:paraId="39B2578E" w14:textId="77777777" w:rsidR="00014483" w:rsidRDefault="00000000">
      <w:pPr>
        <w:spacing w:line="560" w:lineRule="exact"/>
        <w:ind w:firstLineChars="200" w:firstLine="640"/>
      </w:pPr>
      <w:r>
        <w:rPr>
          <w:rFonts w:ascii="仿宋_GB2312" w:eastAsia="仿宋_GB2312" w:hint="eastAsia"/>
          <w:sz w:val="32"/>
          <w:szCs w:val="32"/>
        </w:rPr>
        <w:t>10.上年结转结余395.31万元。</w:t>
      </w:r>
    </w:p>
    <w:p w14:paraId="09D5C126" w14:textId="77777777" w:rsidR="00014483" w:rsidRDefault="00000000">
      <w:pPr>
        <w:pStyle w:val="2"/>
        <w:jc w:val="center"/>
        <w:rPr>
          <w:rFonts w:ascii="仿宋_GB2312" w:eastAsia="仿宋_GB2312"/>
          <w:b w:val="0"/>
          <w:bCs w:val="0"/>
          <w:sz w:val="32"/>
        </w:rPr>
      </w:pPr>
      <w:r>
        <w:rPr>
          <w:rFonts w:ascii="仿宋_GB2312" w:eastAsia="仿宋_GB2312" w:hint="eastAsia"/>
          <w:b w:val="0"/>
          <w:bCs w:val="0"/>
          <w:sz w:val="32"/>
        </w:rPr>
        <w:t>图1：收入预算</w:t>
      </w:r>
    </w:p>
    <w:p w14:paraId="685F8B1F" w14:textId="77777777" w:rsidR="00014483" w:rsidRDefault="00000000">
      <w:pPr>
        <w:pStyle w:val="2"/>
        <w:jc w:val="center"/>
      </w:pPr>
      <w:r>
        <w:rPr>
          <w:noProof/>
        </w:rPr>
        <w:drawing>
          <wp:inline distT="0" distB="0" distL="114300" distR="114300" wp14:anchorId="1147C320" wp14:editId="38865E37">
            <wp:extent cx="4489450" cy="3044190"/>
            <wp:effectExtent l="4445" t="4445" r="17780" b="825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4690692" w14:textId="77777777" w:rsidR="00014483" w:rsidRDefault="00000000">
      <w:pPr>
        <w:spacing w:line="560" w:lineRule="exact"/>
        <w:ind w:firstLineChars="200" w:firstLine="640"/>
        <w:rPr>
          <w:rFonts w:ascii="黑体" w:eastAsia="黑体"/>
          <w:sz w:val="32"/>
          <w:szCs w:val="32"/>
        </w:rPr>
      </w:pPr>
      <w:r>
        <w:rPr>
          <w:rFonts w:ascii="黑体" w:eastAsia="黑体" w:hint="eastAsia"/>
          <w:sz w:val="32"/>
          <w:szCs w:val="32"/>
        </w:rPr>
        <w:t>三、支出预算情况说明</w:t>
      </w:r>
    </w:p>
    <w:p w14:paraId="1E4C3C6B" w14:textId="0AB25F14" w:rsidR="00A2598E" w:rsidRDefault="00000000" w:rsidP="00A2598E">
      <w:pPr>
        <w:spacing w:line="572" w:lineRule="exact"/>
        <w:ind w:firstLineChars="200" w:firstLine="640"/>
        <w:rPr>
          <w:rFonts w:ascii="仿宋" w:eastAsia="仿宋" w:hAnsi="仿宋" w:cs="仿宋"/>
          <w:sz w:val="32"/>
          <w:szCs w:val="32"/>
        </w:rPr>
      </w:pPr>
      <w:r>
        <w:rPr>
          <w:rFonts w:ascii="仿宋_GB2312" w:eastAsia="仿宋_GB2312" w:hint="eastAsia"/>
          <w:sz w:val="32"/>
          <w:szCs w:val="32"/>
        </w:rPr>
        <w:t>2023年支出预算14,413.17万元，比2022年年初预算数</w:t>
      </w:r>
      <w:r>
        <w:rPr>
          <w:rFonts w:ascii="仿宋_GB2312" w:eastAsia="仿宋_GB2312" w:hint="eastAsia"/>
          <w:color w:val="000000"/>
          <w:sz w:val="32"/>
          <w:szCs w:val="32"/>
        </w:rPr>
        <w:t>14,185.34</w:t>
      </w:r>
      <w:r>
        <w:rPr>
          <w:rFonts w:ascii="仿宋_GB2312" w:eastAsia="仿宋_GB2312" w:hint="eastAsia"/>
          <w:sz w:val="32"/>
          <w:szCs w:val="32"/>
        </w:rPr>
        <w:t>万元增加227.83万元，增长1.61%。</w:t>
      </w:r>
      <w:r w:rsidR="00A2598E">
        <w:rPr>
          <w:rFonts w:ascii="仿宋" w:eastAsia="仿宋" w:hAnsi="仿宋" w:cs="仿宋" w:hint="eastAsia"/>
          <w:sz w:val="32"/>
          <w:szCs w:val="32"/>
        </w:rPr>
        <w:t>主要原因：一是落实人员</w:t>
      </w:r>
      <w:r w:rsidR="006C35E3">
        <w:rPr>
          <w:rFonts w:ascii="仿宋" w:eastAsia="仿宋" w:hAnsi="仿宋" w:cs="仿宋" w:hint="eastAsia"/>
          <w:sz w:val="32"/>
          <w:szCs w:val="32"/>
        </w:rPr>
        <w:t>工资</w:t>
      </w:r>
      <w:r w:rsidR="00A2598E">
        <w:rPr>
          <w:rFonts w:ascii="仿宋" w:eastAsia="仿宋" w:hAnsi="仿宋" w:cs="仿宋" w:hint="eastAsia"/>
          <w:sz w:val="32"/>
          <w:szCs w:val="32"/>
        </w:rPr>
        <w:t>等有关政策，人员经费有所增加；</w:t>
      </w:r>
      <w:r w:rsidR="00A2598E" w:rsidRPr="00BE3EC6">
        <w:rPr>
          <w:rFonts w:ascii="仿宋" w:eastAsia="仿宋" w:hAnsi="仿宋" w:cs="仿宋" w:hint="eastAsia"/>
          <w:sz w:val="32"/>
          <w:szCs w:val="32"/>
        </w:rPr>
        <w:t>二是根据事业发展需要调整项目安排。</w:t>
      </w:r>
    </w:p>
    <w:p w14:paraId="4457FEEF" w14:textId="6DB6857F" w:rsidR="00014483" w:rsidRDefault="00000000" w:rsidP="00A2598E">
      <w:pPr>
        <w:spacing w:line="572" w:lineRule="exact"/>
        <w:ind w:firstLineChars="200" w:firstLine="640"/>
        <w:rPr>
          <w:rFonts w:ascii="仿宋_GB2312" w:eastAsia="仿宋_GB2312"/>
          <w:sz w:val="32"/>
          <w:szCs w:val="32"/>
        </w:rPr>
      </w:pPr>
      <w:r>
        <w:rPr>
          <w:rFonts w:ascii="楷体_GB2312" w:eastAsia="楷体_GB2312" w:hAnsi="楷体_GB2312" w:cs="楷体_GB2312" w:hint="eastAsia"/>
          <w:sz w:val="32"/>
          <w:szCs w:val="32"/>
        </w:rPr>
        <w:t>(一)基本支出。</w:t>
      </w:r>
      <w:r>
        <w:rPr>
          <w:rFonts w:ascii="仿宋_GB2312" w:eastAsia="仿宋_GB2312" w:hint="eastAsia"/>
          <w:sz w:val="32"/>
          <w:szCs w:val="32"/>
        </w:rPr>
        <w:t>基本支出预算3,450.25万元，占总支出</w:t>
      </w:r>
      <w:r>
        <w:rPr>
          <w:rFonts w:ascii="仿宋_GB2312" w:eastAsia="仿宋_GB2312" w:hint="eastAsia"/>
          <w:sz w:val="32"/>
          <w:szCs w:val="32"/>
        </w:rPr>
        <w:lastRenderedPageBreak/>
        <w:t>预算23.94%，比2022年年初预算数</w:t>
      </w:r>
      <w:r>
        <w:rPr>
          <w:rFonts w:ascii="仿宋_GB2312" w:eastAsia="仿宋_GB2312" w:hint="eastAsia"/>
          <w:color w:val="000000"/>
          <w:sz w:val="32"/>
          <w:szCs w:val="32"/>
        </w:rPr>
        <w:t>2,497.36</w:t>
      </w:r>
      <w:r>
        <w:rPr>
          <w:rFonts w:ascii="仿宋_GB2312" w:eastAsia="仿宋_GB2312" w:hint="eastAsia"/>
          <w:sz w:val="32"/>
          <w:szCs w:val="32"/>
        </w:rPr>
        <w:t>万元增加952.89万元，增长38.16%。</w:t>
      </w:r>
    </w:p>
    <w:p w14:paraId="7EDBE904" w14:textId="77777777" w:rsidR="00014483" w:rsidRDefault="00000000">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（二）项目支出。</w:t>
      </w:r>
      <w:r>
        <w:rPr>
          <w:rFonts w:ascii="仿宋_GB2312" w:eastAsia="仿宋_GB2312" w:hint="eastAsia"/>
          <w:sz w:val="32"/>
          <w:szCs w:val="32"/>
        </w:rPr>
        <w:t>项目支出预算10,962.92万元，比2022年年初预算数</w:t>
      </w:r>
      <w:r>
        <w:rPr>
          <w:rFonts w:ascii="仿宋_GB2312" w:eastAsia="仿宋_GB2312" w:hint="eastAsia"/>
          <w:color w:val="000000"/>
          <w:sz w:val="32"/>
          <w:szCs w:val="32"/>
        </w:rPr>
        <w:t>11,687.98</w:t>
      </w:r>
      <w:r>
        <w:rPr>
          <w:rFonts w:ascii="仿宋_GB2312" w:eastAsia="仿宋_GB2312" w:hint="eastAsia"/>
          <w:sz w:val="32"/>
          <w:szCs w:val="32"/>
        </w:rPr>
        <w:t>万元减少725.06万元，下降6.2%。其中：</w:t>
      </w:r>
    </w:p>
    <w:p w14:paraId="5587489F" w14:textId="77777777" w:rsidR="00014483" w:rsidRDefault="00000000">
      <w:pPr>
        <w:spacing w:line="560" w:lineRule="exact"/>
        <w:ind w:firstLine="640"/>
        <w:rPr>
          <w:rFonts w:ascii="仿宋_GB2312" w:eastAsia="仿宋_GB2312"/>
          <w:sz w:val="32"/>
          <w:szCs w:val="32"/>
        </w:rPr>
      </w:pPr>
      <w:r>
        <w:rPr>
          <w:rFonts w:ascii="仿宋_GB2312" w:eastAsia="仿宋_GB2312" w:hint="eastAsia"/>
          <w:sz w:val="32"/>
          <w:szCs w:val="32"/>
        </w:rPr>
        <w:t>1.事业单位经营支出0万元。</w:t>
      </w:r>
    </w:p>
    <w:p w14:paraId="41F9D381" w14:textId="77777777" w:rsidR="00014483" w:rsidRDefault="00000000">
      <w:pPr>
        <w:spacing w:line="560" w:lineRule="exact"/>
        <w:ind w:firstLine="640"/>
        <w:rPr>
          <w:rFonts w:ascii="仿宋_GB2312" w:eastAsia="仿宋_GB2312"/>
          <w:sz w:val="32"/>
          <w:szCs w:val="32"/>
        </w:rPr>
      </w:pPr>
      <w:r>
        <w:rPr>
          <w:rFonts w:ascii="仿宋_GB2312" w:eastAsia="仿宋_GB2312" w:hint="eastAsia"/>
          <w:sz w:val="32"/>
          <w:szCs w:val="32"/>
        </w:rPr>
        <w:t>2.上缴上级支出0万元。</w:t>
      </w:r>
    </w:p>
    <w:p w14:paraId="2833CA3D" w14:textId="77777777" w:rsidR="00014483" w:rsidRDefault="00000000">
      <w:pPr>
        <w:spacing w:line="560" w:lineRule="exact"/>
        <w:ind w:firstLine="640"/>
        <w:rPr>
          <w:rFonts w:ascii="仿宋_GB2312" w:eastAsia="仿宋_GB2312"/>
          <w:sz w:val="32"/>
          <w:szCs w:val="32"/>
        </w:rPr>
      </w:pPr>
      <w:r>
        <w:rPr>
          <w:rFonts w:ascii="仿宋_GB2312" w:eastAsia="仿宋_GB2312" w:hint="eastAsia"/>
          <w:sz w:val="32"/>
          <w:szCs w:val="32"/>
        </w:rPr>
        <w:t>3.对附属单位补助支出0万元。</w:t>
      </w:r>
    </w:p>
    <w:p w14:paraId="65E25FD9" w14:textId="77777777" w:rsidR="00014483" w:rsidRDefault="00000000">
      <w:pPr>
        <w:spacing w:line="560" w:lineRule="exact"/>
        <w:ind w:firstLine="640"/>
        <w:jc w:val="center"/>
        <w:rPr>
          <w:rFonts w:ascii="仿宋_GB2312" w:eastAsia="仿宋_GB2312"/>
          <w:sz w:val="32"/>
        </w:rPr>
      </w:pPr>
      <w:r>
        <w:rPr>
          <w:rFonts w:ascii="仿宋_GB2312" w:eastAsia="仿宋_GB2312" w:hint="eastAsia"/>
          <w:b/>
          <w:bCs/>
          <w:sz w:val="32"/>
        </w:rPr>
        <w:t>图2：基本支出和项目支出情况</w:t>
      </w:r>
    </w:p>
    <w:p w14:paraId="3883F1EE" w14:textId="77777777" w:rsidR="00014483" w:rsidRDefault="00000000">
      <w:pPr>
        <w:rPr>
          <w:rFonts w:eastAsia="仿宋_GB2312"/>
        </w:rPr>
      </w:pPr>
      <w:r>
        <w:rPr>
          <w:rFonts w:eastAsia="仿宋_GB2312" w:hint="eastAsia"/>
          <w:noProof/>
        </w:rPr>
        <w:drawing>
          <wp:inline distT="0" distB="0" distL="114300" distR="114300" wp14:anchorId="15AE516D" wp14:editId="5B76831C">
            <wp:extent cx="5080000" cy="2988945"/>
            <wp:effectExtent l="4445" t="4445" r="16510" b="825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8E51918" w14:textId="77777777" w:rsidR="00014483" w:rsidRDefault="00000000">
      <w:pPr>
        <w:spacing w:line="560" w:lineRule="exact"/>
        <w:ind w:firstLineChars="200" w:firstLine="640"/>
        <w:rPr>
          <w:rFonts w:ascii="楷体_GB2312" w:eastAsia="楷体_GB2312" w:cs="楷体_GB2312"/>
          <w:sz w:val="32"/>
          <w:szCs w:val="32"/>
        </w:rPr>
      </w:pPr>
      <w:r>
        <w:rPr>
          <w:rFonts w:ascii="黑体" w:eastAsia="黑体" w:hint="eastAsia"/>
          <w:sz w:val="32"/>
          <w:szCs w:val="32"/>
        </w:rPr>
        <w:t>四、财政拨款“三公”经费预算情况说明</w:t>
      </w:r>
    </w:p>
    <w:p w14:paraId="48007B32"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14:paraId="5582FFF5"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北京市数字教育中心</w:t>
      </w:r>
      <w:r>
        <w:rPr>
          <w:rFonts w:ascii="仿宋_GB2312" w:eastAsia="仿宋_GB2312"/>
          <w:color w:val="000000"/>
          <w:sz w:val="32"/>
          <w:szCs w:val="32"/>
        </w:rPr>
        <w:t>（北京电化教育馆）</w:t>
      </w:r>
      <w:r>
        <w:rPr>
          <w:rFonts w:ascii="仿宋_GB2312" w:eastAsia="仿宋_GB2312" w:hint="eastAsia"/>
          <w:sz w:val="32"/>
          <w:szCs w:val="32"/>
        </w:rPr>
        <w:t>因公出国（境）费用、公务接待费、公务用车购置和运行维护费开支单位包括1个单位。其他所属单位2023年无财政拨款安排的“三公”经费预算。</w:t>
      </w:r>
    </w:p>
    <w:p w14:paraId="1DA24F32" w14:textId="77777777" w:rsidR="00014483" w:rsidRDefault="00000000">
      <w:pPr>
        <w:spacing w:line="560" w:lineRule="exact"/>
        <w:ind w:firstLineChars="200" w:firstLine="640"/>
        <w:rPr>
          <w:rFonts w:ascii="仿宋_GB2312" w:eastAsia="仿宋_GB2312"/>
          <w:sz w:val="32"/>
          <w:szCs w:val="32"/>
        </w:rPr>
      </w:pPr>
      <w:r>
        <w:rPr>
          <w:rFonts w:ascii="楷体_GB2312" w:eastAsia="楷体_GB2312" w:hint="eastAsia"/>
          <w:sz w:val="32"/>
          <w:szCs w:val="32"/>
        </w:rPr>
        <w:lastRenderedPageBreak/>
        <w:t>（二）财政拨款“三公”经费预算情况说明</w:t>
      </w:r>
    </w:p>
    <w:p w14:paraId="76C4E7EF"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2023年财政拨款“三公”经费预算7.49万元，比2022年财政拨款“三公”经费预算减少16万元。其中：</w:t>
      </w:r>
    </w:p>
    <w:p w14:paraId="7B02B38E"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1.因公出国（境）费用。本单位2023年预算数0万元，与2022年持平。</w:t>
      </w:r>
    </w:p>
    <w:p w14:paraId="31AF58FB" w14:textId="2C034B78"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2.公务接待费。2023年预算数4.99万元，比2022年年初预算数4.94万元增加0.05万元，主要原因：</w:t>
      </w:r>
      <w:r w:rsidR="00FB26A7">
        <w:rPr>
          <w:rFonts w:ascii="仿宋_GB2312" w:eastAsia="仿宋_GB2312" w:hint="eastAsia"/>
          <w:sz w:val="32"/>
          <w:szCs w:val="32"/>
        </w:rPr>
        <w:t>根据实际需求，公务接待费有所增加</w:t>
      </w:r>
      <w:r>
        <w:rPr>
          <w:rFonts w:ascii="仿宋_GB2312" w:eastAsia="仿宋_GB2312" w:hint="eastAsia"/>
          <w:sz w:val="32"/>
          <w:szCs w:val="32"/>
        </w:rPr>
        <w:t>。</w:t>
      </w:r>
    </w:p>
    <w:p w14:paraId="2EF55B8B" w14:textId="43BDE984" w:rsidR="00014483" w:rsidRDefault="00000000">
      <w:pPr>
        <w:ind w:firstLineChars="200" w:firstLine="640"/>
        <w:rPr>
          <w:rFonts w:ascii="仿宋_GB2312" w:eastAsia="仿宋_GB2312"/>
          <w:sz w:val="32"/>
          <w:szCs w:val="32"/>
        </w:rPr>
      </w:pPr>
      <w:r>
        <w:rPr>
          <w:rFonts w:ascii="仿宋_GB2312" w:eastAsia="仿宋_GB2312" w:hint="eastAsia"/>
          <w:sz w:val="32"/>
          <w:szCs w:val="32"/>
        </w:rPr>
        <w:t>3.公务用车购置和运行维护费。2023年预算数2.50万元，其中，公务用车购置费2023年预算数0万元，比2022年年初预算数16.80万元减少16.80万元，主要原因：</w:t>
      </w:r>
      <w:r w:rsidR="00BF2EF4">
        <w:rPr>
          <w:rFonts w:ascii="仿宋_GB2312" w:eastAsia="仿宋_GB2312" w:hint="eastAsia"/>
          <w:sz w:val="32"/>
          <w:szCs w:val="32"/>
        </w:rPr>
        <w:t>2</w:t>
      </w:r>
      <w:r w:rsidR="00BF2EF4">
        <w:rPr>
          <w:rFonts w:ascii="仿宋_GB2312" w:eastAsia="仿宋_GB2312"/>
          <w:sz w:val="32"/>
          <w:szCs w:val="32"/>
        </w:rPr>
        <w:t>023</w:t>
      </w:r>
      <w:r w:rsidR="00BF2EF4">
        <w:rPr>
          <w:rFonts w:ascii="仿宋_GB2312" w:eastAsia="仿宋_GB2312" w:hint="eastAsia"/>
          <w:sz w:val="32"/>
          <w:szCs w:val="32"/>
        </w:rPr>
        <w:t>年无公务用车购置计划</w:t>
      </w:r>
      <w:r>
        <w:rPr>
          <w:rFonts w:ascii="仿宋_GB2312" w:eastAsia="仿宋_GB2312" w:hint="eastAsia"/>
          <w:sz w:val="32"/>
          <w:szCs w:val="32"/>
        </w:rPr>
        <w:t>；公务用车运行维护费2023年预算数2.50万元，其中：公务用车燃油1.33万元，公务用车维修0.43万元，公务用车保险0.42万元，其他支出0.32万元。公务用车运行维护费2023年预算数比2022年年初预算数1.75万元增加0.75万元。主要原因：</w:t>
      </w:r>
      <w:r w:rsidR="00234EDD">
        <w:rPr>
          <w:rFonts w:ascii="仿宋_GB2312" w:eastAsia="仿宋_GB2312" w:hint="eastAsia"/>
          <w:sz w:val="32"/>
          <w:szCs w:val="32"/>
        </w:rPr>
        <w:t>根据实际需要</w:t>
      </w:r>
      <w:r>
        <w:rPr>
          <w:rFonts w:ascii="仿宋_GB2312" w:eastAsia="仿宋_GB2312" w:hint="eastAsia"/>
          <w:sz w:val="32"/>
          <w:szCs w:val="32"/>
        </w:rPr>
        <w:t>，2023年运行维护费</w:t>
      </w:r>
      <w:r w:rsidR="0053236A">
        <w:rPr>
          <w:rFonts w:ascii="仿宋_GB2312" w:eastAsia="仿宋_GB2312" w:hint="eastAsia"/>
          <w:sz w:val="32"/>
          <w:szCs w:val="32"/>
        </w:rPr>
        <w:t>有所</w:t>
      </w:r>
      <w:r>
        <w:rPr>
          <w:rFonts w:ascii="仿宋_GB2312" w:eastAsia="仿宋_GB2312" w:hint="eastAsia"/>
          <w:sz w:val="32"/>
          <w:szCs w:val="32"/>
        </w:rPr>
        <w:t>增加。</w:t>
      </w:r>
    </w:p>
    <w:p w14:paraId="15C5AC7B" w14:textId="77777777" w:rsidR="00014483" w:rsidRDefault="00000000">
      <w:pPr>
        <w:spacing w:line="560" w:lineRule="exact"/>
        <w:ind w:firstLineChars="200" w:firstLine="640"/>
        <w:rPr>
          <w:rFonts w:ascii="黑体" w:eastAsia="黑体"/>
          <w:sz w:val="32"/>
          <w:szCs w:val="32"/>
        </w:rPr>
      </w:pPr>
      <w:r>
        <w:rPr>
          <w:rFonts w:ascii="黑体" w:eastAsia="黑体" w:hint="eastAsia"/>
          <w:sz w:val="32"/>
          <w:szCs w:val="32"/>
        </w:rPr>
        <w:t>五、其他情况说明</w:t>
      </w:r>
    </w:p>
    <w:p w14:paraId="5B769B03"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14:paraId="7025A1FF"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2023年北京市数字教育中心</w:t>
      </w:r>
      <w:r>
        <w:rPr>
          <w:rFonts w:ascii="仿宋_GB2312" w:eastAsia="仿宋_GB2312"/>
          <w:color w:val="000000"/>
          <w:sz w:val="32"/>
          <w:szCs w:val="32"/>
        </w:rPr>
        <w:t>（北京电化教育馆）</w:t>
      </w:r>
      <w:r>
        <w:rPr>
          <w:rFonts w:ascii="仿宋_GB2312" w:eastAsia="仿宋_GB2312" w:hint="eastAsia"/>
          <w:sz w:val="32"/>
          <w:szCs w:val="32"/>
        </w:rPr>
        <w:t>政府采购预算总额9,659.83万元，其中：政府采购货物预算513.40万元，政府采购工程预算0万元，政府采购服务预算9,146.43万元。</w:t>
      </w:r>
    </w:p>
    <w:p w14:paraId="6EC4A0A8"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lastRenderedPageBreak/>
        <w:t>（二）政府购买服务预算说明</w:t>
      </w:r>
    </w:p>
    <w:p w14:paraId="085431F7"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2023年北京市数字教育中心</w:t>
      </w:r>
      <w:r>
        <w:rPr>
          <w:rFonts w:ascii="仿宋_GB2312" w:eastAsia="仿宋_GB2312"/>
          <w:color w:val="000000"/>
          <w:sz w:val="32"/>
          <w:szCs w:val="32"/>
        </w:rPr>
        <w:t>（北京电化教育馆）</w:t>
      </w:r>
      <w:r>
        <w:rPr>
          <w:rFonts w:ascii="仿宋_GB2312" w:eastAsia="仿宋_GB2312" w:hint="eastAsia"/>
          <w:sz w:val="32"/>
          <w:szCs w:val="32"/>
        </w:rPr>
        <w:t>政府购买服务预算总额0万元。</w:t>
      </w:r>
    </w:p>
    <w:p w14:paraId="210D779F"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14:paraId="1CB2CCA8"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我单位不在机关运行经费统计范围之内。</w:t>
      </w:r>
    </w:p>
    <w:p w14:paraId="1261FDDC"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14:paraId="54549692" w14:textId="77777777" w:rsidR="00014483"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2023年，北京市数字教育中心</w:t>
      </w:r>
      <w:r>
        <w:rPr>
          <w:rFonts w:ascii="仿宋_GB2312" w:eastAsia="仿宋_GB2312"/>
          <w:color w:val="000000"/>
          <w:sz w:val="32"/>
          <w:szCs w:val="32"/>
        </w:rPr>
        <w:t>（北京电化教育馆）</w:t>
      </w:r>
      <w:r>
        <w:rPr>
          <w:rFonts w:ascii="仿宋_GB2312" w:eastAsia="仿宋_GB2312" w:hint="eastAsia"/>
          <w:sz w:val="32"/>
          <w:szCs w:val="32"/>
        </w:rPr>
        <w:t>填报绩效目标的预算项目22个，占本单位本年预算项目22个的100%。填报绩效目标的项目支出预算10,817.61万元，占本单位本年项目支出预算的100%。</w:t>
      </w:r>
    </w:p>
    <w:p w14:paraId="4C213AFA"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14:paraId="31E05DCA" w14:textId="77777777" w:rsidR="00014483"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本单位2023年无重点行政事业性收费。</w:t>
      </w:r>
    </w:p>
    <w:p w14:paraId="077AE77A" w14:textId="77777777" w:rsidR="0001448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14:paraId="110EE5AD" w14:textId="77777777" w:rsidR="00014483"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本单位2023年无国有资本经营预算财政拨款安排的预算。</w:t>
      </w:r>
    </w:p>
    <w:p w14:paraId="038DD3BA" w14:textId="77777777" w:rsidR="00014483"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14:paraId="73002AAF" w14:textId="77777777" w:rsidR="00014483"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截至2022年底，</w:t>
      </w:r>
      <w:r>
        <w:rPr>
          <w:rFonts w:ascii="仿宋_GB2312" w:eastAsia="仿宋_GB2312" w:hint="eastAsia"/>
          <w:sz w:val="32"/>
          <w:szCs w:val="32"/>
        </w:rPr>
        <w:t>北京市数字教育中心</w:t>
      </w:r>
      <w:r>
        <w:rPr>
          <w:rFonts w:ascii="仿宋_GB2312" w:eastAsia="仿宋_GB2312"/>
          <w:color w:val="000000"/>
          <w:sz w:val="32"/>
          <w:szCs w:val="32"/>
        </w:rPr>
        <w:t>（北京电化教育馆）</w:t>
      </w:r>
      <w:r>
        <w:rPr>
          <w:rFonts w:ascii="仿宋_GB2312" w:eastAsia="仿宋_GB2312" w:hint="eastAsia"/>
          <w:color w:val="000000"/>
          <w:sz w:val="32"/>
          <w:szCs w:val="32"/>
        </w:rPr>
        <w:t>共有车辆1台，共计15.92万元；单位价值50万元以上的通用设备85台（套），共计8,644.99万元，单位价值100万元以上的专用设备0台（套）、共计0万元。</w:t>
      </w:r>
    </w:p>
    <w:p w14:paraId="68726A8A" w14:textId="77777777" w:rsidR="00014483" w:rsidRDefault="00000000">
      <w:pPr>
        <w:spacing w:line="560" w:lineRule="exact"/>
        <w:ind w:firstLineChars="200" w:firstLine="640"/>
        <w:rPr>
          <w:rFonts w:ascii="仿宋_GB2312" w:eastAsia="仿宋_GB2312"/>
          <w:color w:val="000000"/>
          <w:spacing w:val="-2"/>
          <w:sz w:val="32"/>
          <w:szCs w:val="32"/>
        </w:rPr>
      </w:pPr>
      <w:r>
        <w:rPr>
          <w:rFonts w:ascii="黑体" w:eastAsia="黑体" w:hint="eastAsia"/>
          <w:color w:val="000000"/>
          <w:sz w:val="32"/>
          <w:szCs w:val="32"/>
        </w:rPr>
        <w:t>六、名词解释</w:t>
      </w:r>
    </w:p>
    <w:p w14:paraId="086E30CA" w14:textId="77777777" w:rsidR="00014483"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14:paraId="06526424" w14:textId="77777777" w:rsidR="00014483"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w:t>
      </w:r>
      <w:r>
        <w:rPr>
          <w:rFonts w:ascii="仿宋_GB2312" w:eastAsia="仿宋_GB2312" w:hint="eastAsia"/>
          <w:color w:val="000000"/>
          <w:sz w:val="32"/>
          <w:szCs w:val="32"/>
        </w:rPr>
        <w:lastRenderedPageBreak/>
        <w:t>业发展目标所发生的支出。</w:t>
      </w:r>
    </w:p>
    <w:p w14:paraId="45416B1F" w14:textId="77777777" w:rsidR="00014483"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0D062193" w14:textId="77777777" w:rsidR="00014483" w:rsidRDefault="00014483">
      <w:pPr>
        <w:spacing w:line="560" w:lineRule="exact"/>
        <w:jc w:val="center"/>
        <w:rPr>
          <w:rFonts w:ascii="方正小标宋简体" w:eastAsia="方正小标宋简体"/>
          <w:color w:val="000000"/>
          <w:sz w:val="36"/>
          <w:szCs w:val="36"/>
        </w:rPr>
      </w:pPr>
    </w:p>
    <w:p w14:paraId="0547266E" w14:textId="77777777" w:rsidR="00014483" w:rsidRDefault="00014483"/>
    <w:p w14:paraId="16A69195" w14:textId="77777777" w:rsidR="005949EF" w:rsidRDefault="005949EF">
      <w:pPr>
        <w:spacing w:line="560" w:lineRule="exact"/>
        <w:jc w:val="center"/>
        <w:rPr>
          <w:rFonts w:ascii="方正小标宋简体" w:eastAsia="方正小标宋简体"/>
          <w:color w:val="000000"/>
          <w:sz w:val="36"/>
          <w:szCs w:val="36"/>
        </w:rPr>
        <w:sectPr w:rsidR="005949EF">
          <w:pgSz w:w="11906" w:h="16838"/>
          <w:pgMar w:top="1440" w:right="1800" w:bottom="1440" w:left="1800" w:header="851" w:footer="992" w:gutter="0"/>
          <w:cols w:space="425"/>
          <w:docGrid w:type="lines" w:linePitch="312"/>
        </w:sectPr>
      </w:pPr>
    </w:p>
    <w:p w14:paraId="531CF146" w14:textId="77777777" w:rsidR="00014483" w:rsidRDefault="00000000">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lastRenderedPageBreak/>
        <w:t>第二部分  2023年度单位预算报表</w:t>
      </w:r>
    </w:p>
    <w:p w14:paraId="1860F3DB" w14:textId="77777777" w:rsidR="00014483" w:rsidRDefault="00014483">
      <w:pPr>
        <w:autoSpaceDE w:val="0"/>
        <w:autoSpaceDN w:val="0"/>
        <w:adjustRightInd w:val="0"/>
        <w:spacing w:line="560" w:lineRule="exact"/>
        <w:jc w:val="left"/>
        <w:rPr>
          <w:rFonts w:ascii="方正小标宋简体" w:eastAsia="方正小标宋简体"/>
          <w:color w:val="000000"/>
          <w:sz w:val="36"/>
          <w:szCs w:val="36"/>
        </w:rPr>
      </w:pPr>
    </w:p>
    <w:p w14:paraId="5A77E1D6" w14:textId="77777777" w:rsidR="00014483"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w:t>
      </w:r>
      <w:r>
        <w:rPr>
          <w:rFonts w:ascii="仿宋_GB2312" w:eastAsia="仿宋_GB2312" w:hint="eastAsia"/>
          <w:sz w:val="32"/>
          <w:szCs w:val="32"/>
        </w:rPr>
        <w:t>北京市数字教育中心</w:t>
      </w:r>
      <w:r>
        <w:rPr>
          <w:rFonts w:ascii="仿宋_GB2312" w:eastAsia="仿宋_GB2312"/>
          <w:color w:val="000000"/>
          <w:sz w:val="32"/>
          <w:szCs w:val="32"/>
        </w:rPr>
        <w:t>（北京电化教育馆）</w:t>
      </w:r>
      <w:r>
        <w:rPr>
          <w:rFonts w:ascii="仿宋_GB2312" w:eastAsia="仿宋_GB2312" w:hint="eastAsia"/>
          <w:color w:val="000000"/>
          <w:sz w:val="32"/>
          <w:szCs w:val="32"/>
        </w:rPr>
        <w:t>2023年度单位预算报表</w:t>
      </w:r>
      <w:r>
        <w:rPr>
          <w:rFonts w:ascii="仿宋_GB2312" w:eastAsia="仿宋_GB2312" w:cs="宋体" w:hint="eastAsia"/>
          <w:color w:val="000000"/>
          <w:kern w:val="0"/>
          <w:sz w:val="32"/>
          <w:szCs w:val="32"/>
          <w:lang w:val="zh-CN"/>
        </w:rPr>
        <w:t xml:space="preserve"> </w:t>
      </w:r>
    </w:p>
    <w:p w14:paraId="441FC14F" w14:textId="77777777" w:rsidR="00014483" w:rsidRDefault="00014483"/>
    <w:sectPr w:rsidR="000144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0461" w14:textId="77777777" w:rsidR="00A7312A" w:rsidRDefault="00A7312A">
      <w:r>
        <w:separator/>
      </w:r>
    </w:p>
  </w:endnote>
  <w:endnote w:type="continuationSeparator" w:id="0">
    <w:p w14:paraId="507321E8" w14:textId="77777777" w:rsidR="00A7312A" w:rsidRDefault="00A7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C0A54" w14:textId="77777777" w:rsidR="00014483" w:rsidRDefault="00000000">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066361CD" wp14:editId="2DABA6B4">
              <wp:simplePos x="0" y="0"/>
              <wp:positionH relativeFrom="margin">
                <wp:align>outside</wp:align>
              </wp:positionH>
              <wp:positionV relativeFrom="paragraph">
                <wp:posOffset>0</wp:posOffset>
              </wp:positionV>
              <wp:extent cx="445135" cy="2305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14:paraId="2D2707D5" w14:textId="77777777" w:rsidR="00014483" w:rsidRDefault="0000000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type w14:anchorId="066361CD" id="_x0000_t202" coordsize="21600,21600" o:spt="202" path="m,l,21600r21600,l21600,xe">
              <v:stroke joinstyle="miter"/>
              <v:path gradientshapeok="t" o:connecttype="rect"/>
            </v:shapetype>
            <v:shape id="文本框 3" o:spid="_x0000_s1026" type="#_x0000_t202" style="position:absolute;left:0;text-align:left;margin-left:-16.15pt;margin-top:0;width:35.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hp0wEAAI4DAAAOAAAAZHJzL2Uyb0RvYy54bWysU8Fu2zAMvQ/YPwi6L3bSZhiMOEXXIsOA&#10;bivQ9QNoWY6F2aJAKbGzrx8lx+nW3YZdBJqiHt97pDc3Y9+JoyZv0JZyucil0FZhbey+lM/fd+8+&#10;SOED2Bo6tLqUJ+3lzfbtm83gCr3CFrtak2AQ64vBlbINwRVZ5lWre/ALdNryZYPUQ+BP2mc1wcDo&#10;fZet8vx9NiDVjlBp7zl7P13KbcJvGq3Ct6bxOoiulMwtpJPSWcUz226g2BO41qgzDfgHFj0Yy00v&#10;UPcQQBzI/AXVG0XosQkLhX2GTWOUThpYzTJ/peapBaeTFjbHu4tN/v/Bqq/HJ/dIIowfceQBJhHe&#10;PaD64YXFuxbsXt8S4dBqqLnxMlqWDc4X56fRal/4CFINX7DmIcMhYAIaG+qjK6xTMDoP4HQxXY9B&#10;KE5eX6+XV2spFF+trvJ1vk4doJgfO/Lhk8ZexKCUxDNN4HB88CGSgWIuib0s7kzXpbl29o8EF8ZM&#10;Ih/5TszDWI1cHUVUWJ9YBuG0JrzWHLRIP6UYeEVKaXmHpeg+WzYibtMc0BxUcwBW8cNSBimm8C5M&#10;W3dwZPYt485W37JZO5OEvHA4s+ShJ33nBY1b9ft3qnr5jba/AAAA//8DAFBLAwQUAAYACAAAACEA&#10;0KJef9gAAAADAQAADwAAAGRycy9kb3ducmV2LnhtbEyPwWrDMBBE74X+g9hCbo2cBpLgWA4l0Etv&#10;SUsht421sUyklZEUx/77qr20l4Vhhpm31W50VgwUYudZwWJegCBuvO64VfD58fa8ARETskbrmRRM&#10;FGFXPz5UWGp/5wMNx9SKXMKxRAUmpb6UMjaGHMa574mzd/HBYcoytFIHvOdyZ+VLUaykw47zgsGe&#10;9oaa6/HmFKzHL099pD2dLkMTTDdt7Puk1OxpfN2CSDSmvzD84Gd0qDPT2d9YR2EV5EfS783euliA&#10;OCtYrpYg60r+Z6+/AQAA//8DAFBLAQItABQABgAIAAAAIQC2gziS/gAAAOEBAAATAAAAAAAAAAAA&#10;AAAAAAAAAABbQ29udGVudF9UeXBlc10ueG1sUEsBAi0AFAAGAAgAAAAhADj9If/WAAAAlAEAAAsA&#10;AAAAAAAAAAAAAAAALwEAAF9yZWxzLy5yZWxzUEsBAi0AFAAGAAgAAAAhAEyAaGnTAQAAjgMAAA4A&#10;AAAAAAAAAAAAAAAALgIAAGRycy9lMm9Eb2MueG1sUEsBAi0AFAAGAAgAAAAhANCiXn/YAAAAAwEA&#10;AA8AAAAAAAAAAAAAAAAALQQAAGRycy9kb3ducmV2LnhtbFBLBQYAAAAABAAEAPMAAAAyBQAAAAA=&#10;" filled="f" stroked="f">
              <v:textbox style="mso-fit-shape-to-text:t" inset="0,0,0,0">
                <w:txbxContent>
                  <w:p w14:paraId="2D2707D5" w14:textId="77777777" w:rsidR="00014483" w:rsidRDefault="0000000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w10:wrap anchorx="margin"/>
            </v:shape>
          </w:pict>
        </mc:Fallback>
      </mc:AlternateContent>
    </w:r>
  </w:p>
  <w:p w14:paraId="744529C4" w14:textId="77777777" w:rsidR="00014483" w:rsidRDefault="00014483">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F222D" w14:textId="77777777" w:rsidR="00A7312A" w:rsidRDefault="00A7312A">
      <w:r>
        <w:separator/>
      </w:r>
    </w:p>
  </w:footnote>
  <w:footnote w:type="continuationSeparator" w:id="0">
    <w:p w14:paraId="15CAA5AB" w14:textId="77777777" w:rsidR="00A7312A" w:rsidRDefault="00A73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752D8"/>
    <w:multiLevelType w:val="singleLevel"/>
    <w:tmpl w:val="AD1752D8"/>
    <w:lvl w:ilvl="0">
      <w:start w:val="2"/>
      <w:numFmt w:val="chineseCounting"/>
      <w:suff w:val="nothing"/>
      <w:lvlText w:val="（%1）"/>
      <w:lvlJc w:val="left"/>
      <w:rPr>
        <w:rFonts w:hint="eastAsia"/>
      </w:rPr>
    </w:lvl>
  </w:abstractNum>
  <w:num w:numId="1" w16cid:durableId="1225261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k3YzUxOTc2MTAyNGNjZTU1YWUwNTU5OGI2YTZkODUifQ=="/>
    <w:docVar w:name="KSO_WPS_MARK_KEY" w:val="eff63583-174c-48ec-a9f0-6927b8abc5cb"/>
  </w:docVars>
  <w:rsids>
    <w:rsidRoot w:val="00D263AC"/>
    <w:rsid w:val="00014483"/>
    <w:rsid w:val="000A5FEE"/>
    <w:rsid w:val="00234EDD"/>
    <w:rsid w:val="0026629C"/>
    <w:rsid w:val="002A1878"/>
    <w:rsid w:val="002F6985"/>
    <w:rsid w:val="0035069B"/>
    <w:rsid w:val="003941A1"/>
    <w:rsid w:val="004F744B"/>
    <w:rsid w:val="0053236A"/>
    <w:rsid w:val="0054063D"/>
    <w:rsid w:val="005949EF"/>
    <w:rsid w:val="006C35E3"/>
    <w:rsid w:val="0078662A"/>
    <w:rsid w:val="00846033"/>
    <w:rsid w:val="00A16BB7"/>
    <w:rsid w:val="00A2598E"/>
    <w:rsid w:val="00A7312A"/>
    <w:rsid w:val="00BD44BB"/>
    <w:rsid w:val="00BE3EC6"/>
    <w:rsid w:val="00BF186E"/>
    <w:rsid w:val="00BF2EF4"/>
    <w:rsid w:val="00C516CA"/>
    <w:rsid w:val="00D126F2"/>
    <w:rsid w:val="00D263AC"/>
    <w:rsid w:val="00E46B33"/>
    <w:rsid w:val="00E50731"/>
    <w:rsid w:val="00EC2104"/>
    <w:rsid w:val="00EC70EF"/>
    <w:rsid w:val="00EE34D1"/>
    <w:rsid w:val="00F0640F"/>
    <w:rsid w:val="00FB26A7"/>
    <w:rsid w:val="02D9551D"/>
    <w:rsid w:val="04BC4752"/>
    <w:rsid w:val="05941421"/>
    <w:rsid w:val="05D116CB"/>
    <w:rsid w:val="061C5B23"/>
    <w:rsid w:val="07653B95"/>
    <w:rsid w:val="077B7017"/>
    <w:rsid w:val="080C2A33"/>
    <w:rsid w:val="0A41567D"/>
    <w:rsid w:val="0B037D56"/>
    <w:rsid w:val="0C01678A"/>
    <w:rsid w:val="0C721436"/>
    <w:rsid w:val="0E26647A"/>
    <w:rsid w:val="0EF56BB3"/>
    <w:rsid w:val="0F1D18C6"/>
    <w:rsid w:val="0F5117D6"/>
    <w:rsid w:val="0FC569D1"/>
    <w:rsid w:val="10881228"/>
    <w:rsid w:val="10E87F18"/>
    <w:rsid w:val="1282120A"/>
    <w:rsid w:val="12BD19DC"/>
    <w:rsid w:val="12EE6367"/>
    <w:rsid w:val="131C20FB"/>
    <w:rsid w:val="140A7555"/>
    <w:rsid w:val="14877FF9"/>
    <w:rsid w:val="158A46CE"/>
    <w:rsid w:val="174F6F43"/>
    <w:rsid w:val="175B088D"/>
    <w:rsid w:val="19AF1F1B"/>
    <w:rsid w:val="1A6248D0"/>
    <w:rsid w:val="1B872D6A"/>
    <w:rsid w:val="1BFA7216"/>
    <w:rsid w:val="1DCF330B"/>
    <w:rsid w:val="1EC51899"/>
    <w:rsid w:val="1F3D147F"/>
    <w:rsid w:val="1FF24D88"/>
    <w:rsid w:val="202A6150"/>
    <w:rsid w:val="207C43F8"/>
    <w:rsid w:val="20A067C8"/>
    <w:rsid w:val="20C014B2"/>
    <w:rsid w:val="2119248A"/>
    <w:rsid w:val="2290432C"/>
    <w:rsid w:val="24C74B56"/>
    <w:rsid w:val="275027EC"/>
    <w:rsid w:val="28E84B02"/>
    <w:rsid w:val="29AC5B2F"/>
    <w:rsid w:val="2ABC4498"/>
    <w:rsid w:val="2B6E2FA5"/>
    <w:rsid w:val="2C5D02F7"/>
    <w:rsid w:val="31636DBE"/>
    <w:rsid w:val="325769C8"/>
    <w:rsid w:val="32D564F0"/>
    <w:rsid w:val="33813B89"/>
    <w:rsid w:val="33CF39AA"/>
    <w:rsid w:val="33D67011"/>
    <w:rsid w:val="34056568"/>
    <w:rsid w:val="34232234"/>
    <w:rsid w:val="37695060"/>
    <w:rsid w:val="39CF3F9F"/>
    <w:rsid w:val="3A2841BD"/>
    <w:rsid w:val="3A4327C9"/>
    <w:rsid w:val="3BCB44F6"/>
    <w:rsid w:val="3D6836EC"/>
    <w:rsid w:val="3D880514"/>
    <w:rsid w:val="3EAA0C2F"/>
    <w:rsid w:val="3F34781A"/>
    <w:rsid w:val="40071265"/>
    <w:rsid w:val="40504A75"/>
    <w:rsid w:val="40615207"/>
    <w:rsid w:val="43304B31"/>
    <w:rsid w:val="43AC6626"/>
    <w:rsid w:val="44446C38"/>
    <w:rsid w:val="457F19E1"/>
    <w:rsid w:val="45C62F91"/>
    <w:rsid w:val="460F3276"/>
    <w:rsid w:val="4979536F"/>
    <w:rsid w:val="4B294DDA"/>
    <w:rsid w:val="4CC306E7"/>
    <w:rsid w:val="4CE62D1B"/>
    <w:rsid w:val="4D7C5695"/>
    <w:rsid w:val="4DE20A0B"/>
    <w:rsid w:val="509331BA"/>
    <w:rsid w:val="512F0616"/>
    <w:rsid w:val="51A11B6E"/>
    <w:rsid w:val="51FF0643"/>
    <w:rsid w:val="520075A4"/>
    <w:rsid w:val="530F1F58"/>
    <w:rsid w:val="54651615"/>
    <w:rsid w:val="55894DF3"/>
    <w:rsid w:val="57322070"/>
    <w:rsid w:val="57E82E98"/>
    <w:rsid w:val="57EF174E"/>
    <w:rsid w:val="5C7E7D9D"/>
    <w:rsid w:val="5D700DD3"/>
    <w:rsid w:val="5D7105BD"/>
    <w:rsid w:val="5DB83B00"/>
    <w:rsid w:val="5E045177"/>
    <w:rsid w:val="5E255673"/>
    <w:rsid w:val="5EAC2320"/>
    <w:rsid w:val="5F667F53"/>
    <w:rsid w:val="5F86507E"/>
    <w:rsid w:val="60AF2097"/>
    <w:rsid w:val="617D6B9B"/>
    <w:rsid w:val="61812E22"/>
    <w:rsid w:val="61993110"/>
    <w:rsid w:val="61A24FA7"/>
    <w:rsid w:val="622F631E"/>
    <w:rsid w:val="62FA71A3"/>
    <w:rsid w:val="63FE30B6"/>
    <w:rsid w:val="644A1063"/>
    <w:rsid w:val="65DC20BD"/>
    <w:rsid w:val="67A57FC7"/>
    <w:rsid w:val="67F0485E"/>
    <w:rsid w:val="68647291"/>
    <w:rsid w:val="68792888"/>
    <w:rsid w:val="689C1779"/>
    <w:rsid w:val="6C1958B7"/>
    <w:rsid w:val="6CAD0F6F"/>
    <w:rsid w:val="6E9B6F5D"/>
    <w:rsid w:val="6F3F2FDE"/>
    <w:rsid w:val="6F5419BF"/>
    <w:rsid w:val="6F670BD2"/>
    <w:rsid w:val="700F3CEF"/>
    <w:rsid w:val="70995B4F"/>
    <w:rsid w:val="70D64ACC"/>
    <w:rsid w:val="71F6520B"/>
    <w:rsid w:val="75D354CF"/>
    <w:rsid w:val="768A4F7B"/>
    <w:rsid w:val="78BB3C7E"/>
    <w:rsid w:val="79700F04"/>
    <w:rsid w:val="79921A5A"/>
    <w:rsid w:val="79EB37FE"/>
    <w:rsid w:val="7A1055E1"/>
    <w:rsid w:val="7AF457F2"/>
    <w:rsid w:val="7C0469D6"/>
    <w:rsid w:val="7C906278"/>
    <w:rsid w:val="7CF10560"/>
    <w:rsid w:val="7D4622F9"/>
    <w:rsid w:val="7D965A4F"/>
    <w:rsid w:val="7F890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23C65"/>
  <w15:docId w15:val="{F5B580DA-0381-48D6-9F64-F08068D5F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cs="Droid Sans"/>
      <w:kern w:val="2"/>
      <w:sz w:val="21"/>
      <w:szCs w:val="24"/>
    </w:rPr>
  </w:style>
  <w:style w:type="paragraph" w:styleId="2">
    <w:name w:val="heading 2"/>
    <w:basedOn w:val="a"/>
    <w:next w:val="a"/>
    <w:link w:val="20"/>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20">
    <w:name w:val="标题 2 字符"/>
    <w:basedOn w:val="a0"/>
    <w:link w:val="2"/>
    <w:qFormat/>
    <w:rPr>
      <w:rFonts w:ascii="Cambria" w:eastAsia="黑体" w:hAnsi="Cambria" w:cs="Times New Roman"/>
      <w:b/>
      <w:bCs/>
      <w:kern w:val="0"/>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01980198019802E-2"/>
          <c:y val="0.181870119977147"/>
          <c:w val="0.46350777934936299"/>
          <c:h val="0.62407160540849305"/>
        </c:manualLayout>
      </c:layout>
      <c:pieChart>
        <c:varyColors val="1"/>
        <c:ser>
          <c:idx val="0"/>
          <c:order val="0"/>
          <c:tx>
            <c:strRef>
              <c:f>Sheet1!$B$1</c:f>
              <c:strCache>
                <c:ptCount val="1"/>
                <c:pt idx="0">
                  <c:v>收入预算</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59C-42E1-BB85-1E30F1CF420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11-D59C-42E1-BB85-1E30F1CF420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13-D59C-42E1-BB85-1E30F1CF420B}"/>
              </c:ext>
            </c:extLst>
          </c:dPt>
          <c:dLbls>
            <c:dLbl>
              <c:idx val="0"/>
              <c:layout>
                <c:manualLayout>
                  <c:x val="1.70198252806321E-2"/>
                  <c:y val="-0.19246356413604601"/>
                </c:manualLayout>
              </c:layout>
              <c:tx>
                <c:rich>
                  <a:bodyPr/>
                  <a:lstStyle/>
                  <a:p>
                    <a:r>
                      <a:rPr lang="en-US" altLang="zh-CN" sz="1200">
                        <a:latin typeface="黑体" panose="02010609060101010101" charset="-122"/>
                        <a:ea typeface="黑体" panose="02010609060101010101" charset="-122"/>
                      </a:rPr>
                      <a:t>97.24%</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D59C-42E1-BB85-1E30F1CF420B}"/>
                </c:ext>
              </c:extLst>
            </c:dLbl>
            <c:dLbl>
              <c:idx val="1"/>
              <c:layout>
                <c:manualLayout>
                  <c:x val="-7.7278639572823202E-2"/>
                  <c:y val="1.15324245771076E-3"/>
                </c:manualLayout>
              </c:layout>
              <c:tx>
                <c:rich>
                  <a:bodyPr/>
                  <a:lstStyle/>
                  <a:p>
                    <a:r>
                      <a:rPr lang="en-US" altLang="zh-CN" sz="1200">
                        <a:latin typeface="黑体" panose="02010609060101010101" charset="-122"/>
                        <a:ea typeface="黑体" panose="02010609060101010101" charset="-122"/>
                      </a:rPr>
                      <a:t>0.02%</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1-D59C-42E1-BB85-1E30F1CF420B}"/>
                </c:ext>
              </c:extLst>
            </c:dLbl>
            <c:dLbl>
              <c:idx val="2"/>
              <c:layout>
                <c:manualLayout>
                  <c:x val="0.102805189765826"/>
                  <c:y val="-1.02499975923044E-2"/>
                </c:manualLayout>
              </c:layout>
              <c:tx>
                <c:rich>
                  <a:bodyPr/>
                  <a:lstStyle/>
                  <a:p>
                    <a:r>
                      <a:rPr lang="en-US" altLang="zh-CN" sz="1200">
                        <a:latin typeface="黑体" panose="02010609060101010101" charset="-122"/>
                        <a:ea typeface="黑体" panose="02010609060101010101" charset="-122"/>
                      </a:rPr>
                      <a:t>2.74%</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3-D59C-42E1-BB85-1E30F1CF420B}"/>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3"/>
                <c:pt idx="0">
                  <c:v>一般公共预算拨款收入</c:v>
                </c:pt>
                <c:pt idx="1">
                  <c:v>其他收入</c:v>
                </c:pt>
                <c:pt idx="2">
                  <c:v>上年结转结余</c:v>
                </c:pt>
              </c:strCache>
              <c:extLst/>
            </c:strRef>
          </c:cat>
          <c:val>
            <c:numRef>
              <c:f>Sheet1!$B$2:$B$11</c:f>
              <c:numCache>
                <c:formatCode>0.00%</c:formatCode>
                <c:ptCount val="3"/>
                <c:pt idx="0">
                  <c:v>0.97240000000000004</c:v>
                </c:pt>
                <c:pt idx="1">
                  <c:v>2.0000000000000001E-4</c:v>
                </c:pt>
                <c:pt idx="2">
                  <c:v>2.7400000000000001E-2</c:v>
                </c:pt>
              </c:numCache>
              <c:extLst/>
            </c:numRef>
          </c:val>
          <c:extLst>
            <c:ext xmlns:c16="http://schemas.microsoft.com/office/drawing/2014/chart" uri="{C3380CC4-5D6E-409C-BE32-E72D297353CC}">
              <c16:uniqueId val="{00000014-D59C-42E1-BB85-1E30F1CF420B}"/>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63663366336633698"/>
          <c:y val="0.25061892972767102"/>
          <c:w val="0.35912305516265902"/>
          <c:h val="0.5398971624452489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列1</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0BF-42DA-A8CE-F5EC7B12835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0BF-42DA-A8CE-F5EC7B128352}"/>
              </c:ext>
            </c:extLst>
          </c:dPt>
          <c:dLbls>
            <c:dLbl>
              <c:idx val="0"/>
              <c:layout>
                <c:manualLayout>
                  <c:x val="-0.10483809841396"/>
                  <c:y val="0.12561759535084299"/>
                </c:manualLayout>
              </c:layout>
              <c:tx>
                <c:rich>
                  <a:bodyPr/>
                  <a:lstStyle/>
                  <a:p>
                    <a:r>
                      <a:rPr lang="en-US" altLang="zh-CN" sz="1200">
                        <a:latin typeface="黑体" panose="02010609060101010101" charset="-122"/>
                        <a:ea typeface="黑体" panose="02010609060101010101" charset="-122"/>
                      </a:rPr>
                      <a:t>24%</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0BF-42DA-A8CE-F5EC7B128352}"/>
                </c:ext>
              </c:extLst>
            </c:dLbl>
            <c:dLbl>
              <c:idx val="1"/>
              <c:layout>
                <c:manualLayout>
                  <c:x val="0.11171319989372699"/>
                  <c:y val="-0.287637327866408"/>
                </c:manualLayout>
              </c:layout>
              <c:tx>
                <c:rich>
                  <a:bodyPr/>
                  <a:lstStyle/>
                  <a:p>
                    <a:r>
                      <a:rPr lang="en-US" altLang="zh-CN" sz="1200">
                        <a:latin typeface="黑体" panose="02010609060101010101" charset="-122"/>
                        <a:ea typeface="黑体" panose="02010609060101010101" charset="-122"/>
                      </a:rPr>
                      <a:t>76%</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0BF-42DA-A8CE-F5EC7B128352}"/>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0"/>
            <c:showBubbleSize val="0"/>
            <c:extLst>
              <c:ext xmlns:c15="http://schemas.microsoft.com/office/drawing/2012/chart" uri="{CE6537A1-D6FC-4f65-9D91-7224C49458BB}"/>
            </c:extLst>
          </c:dLbls>
          <c:cat>
            <c:strRef>
              <c:f>Sheet1!$A$2:$A$3</c:f>
              <c:strCache>
                <c:ptCount val="2"/>
                <c:pt idx="0">
                  <c:v>基本支出</c:v>
                </c:pt>
                <c:pt idx="1">
                  <c:v>项目支出</c:v>
                </c:pt>
              </c:strCache>
            </c:strRef>
          </c:cat>
          <c:val>
            <c:numRef>
              <c:f>Sheet1!$B$2:$B$3</c:f>
              <c:numCache>
                <c:formatCode>0.00%</c:formatCode>
                <c:ptCount val="2"/>
                <c:pt idx="0">
                  <c:v>0.2394</c:v>
                </c:pt>
                <c:pt idx="1">
                  <c:v>0.76060000000000005</c:v>
                </c:pt>
              </c:numCache>
            </c:numRef>
          </c:val>
          <c:extLst>
            <c:ext xmlns:c16="http://schemas.microsoft.com/office/drawing/2014/chart" uri="{C3380CC4-5D6E-409C-BE32-E72D297353CC}">
              <c16:uniqueId val="{00000004-60BF-42DA-A8CE-F5EC7B128352}"/>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460</Words>
  <Characters>2625</Characters>
  <Application>Microsoft Office Word</Application>
  <DocSecurity>0</DocSecurity>
  <Lines>21</Lines>
  <Paragraphs>6</Paragraphs>
  <ScaleCrop>false</ScaleCrop>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Katherine</dc:creator>
  <cp:lastModifiedBy>li Katherine</cp:lastModifiedBy>
  <cp:revision>24</cp:revision>
  <dcterms:created xsi:type="dcterms:W3CDTF">2023-02-15T02:41:00Z</dcterms:created>
  <dcterms:modified xsi:type="dcterms:W3CDTF">2023-03-08T04:20:00Z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D2F3B42DA3494634A9465C9A9EB6841D</vt:lpwstr>
  </property>
</Properties>
</file>