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北京教育老干部活动中心（北京教育老干部大学、北京教育老干部党校）2023年财政预算信息公开</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2023年度单位预算情况说明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2023年度单位预算报表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二、收入总表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七、一般公共预算财政拨款支出表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sectPr>
          <w:footerReference r:id="rId3" w:type="default"/>
          <w:pgSz w:w="11906" w:h="16838"/>
          <w:pgMar w:top="1440" w:right="1800" w:bottom="1440" w:left="1800" w:header="851" w:footer="992" w:gutter="0"/>
          <w:pgNumType w:fmt="numberInDash"/>
          <w:cols w:space="720" w:num="1"/>
          <w:docGrid w:type="lines" w:linePitch="312" w:charSpace="0"/>
        </w:sect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2023年度单位预算情况说明</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pStyle w:val="2"/>
        <w:ind w:firstLine="640" w:firstLineChars="200"/>
        <w:rPr>
          <w:rFonts w:ascii="仿宋_GB2312" w:hAnsi="Times New Roman" w:eastAsia="仿宋_GB2312"/>
          <w:b w:val="0"/>
          <w:bCs w:val="0"/>
          <w:color w:val="000000"/>
          <w:kern w:val="2"/>
          <w:sz w:val="32"/>
        </w:rPr>
      </w:pPr>
      <w:r>
        <w:rPr>
          <w:rFonts w:hint="eastAsia" w:ascii="仿宋_GB2312" w:hAnsi="Times New Roman" w:eastAsia="仿宋_GB2312"/>
          <w:b w:val="0"/>
          <w:bCs w:val="0"/>
          <w:color w:val="000000"/>
          <w:kern w:val="2"/>
          <w:sz w:val="32"/>
        </w:rPr>
        <w:t>北京教育老干部活动中心（北京教育老干部大学、北京教育老干部党校）（以下简称“本单位”）是公益一类事业单位，承担本市教育系统老干部活动的组织与开展、学习教育培训的组织与管理。</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pPr>
        <w:pStyle w:val="2"/>
        <w:ind w:firstLine="640" w:firstLineChars="200"/>
        <w:rPr>
          <w:rFonts w:ascii="仿宋_GB2312" w:hAnsi="Times New Roman" w:eastAsia="仿宋_GB2312"/>
          <w:b w:val="0"/>
          <w:bCs w:val="0"/>
          <w:color w:val="000000"/>
          <w:kern w:val="2"/>
          <w:sz w:val="32"/>
        </w:rPr>
      </w:pPr>
      <w:r>
        <w:rPr>
          <w:rFonts w:hint="eastAsia" w:ascii="仿宋_GB2312" w:hAnsi="Times New Roman" w:eastAsia="仿宋_GB2312"/>
          <w:b w:val="0"/>
          <w:bCs w:val="0"/>
          <w:color w:val="000000"/>
          <w:kern w:val="2"/>
          <w:sz w:val="32"/>
        </w:rPr>
        <w:t>本单位内设5个部门，分别为办公室、两校办公室、综合</w:t>
      </w:r>
      <w:bookmarkStart w:id="0" w:name="_GoBack"/>
      <w:bookmarkEnd w:id="0"/>
      <w:r>
        <w:rPr>
          <w:rFonts w:hint="eastAsia" w:ascii="仿宋_GB2312" w:hAnsi="Times New Roman" w:eastAsia="仿宋_GB2312"/>
          <w:b w:val="0"/>
          <w:bCs w:val="0"/>
          <w:color w:val="000000"/>
          <w:kern w:val="2"/>
          <w:sz w:val="32"/>
        </w:rPr>
        <w:t>保障部、文体活动部、党建宣传部。</w:t>
      </w:r>
    </w:p>
    <w:p>
      <w:pPr>
        <w:pStyle w:val="2"/>
        <w:ind w:firstLine="640" w:firstLineChars="200"/>
        <w:rPr>
          <w:rFonts w:ascii="仿宋_GB2312" w:hAnsi="Times New Roman" w:eastAsia="仿宋_GB2312" w:cs="Droid Sans"/>
          <w:b w:val="0"/>
          <w:bCs w:val="0"/>
          <w:kern w:val="2"/>
          <w:sz w:val="32"/>
        </w:rPr>
      </w:pPr>
      <w:r>
        <w:rPr>
          <w:rFonts w:hint="eastAsia" w:ascii="仿宋_GB2312" w:hAnsi="Times New Roman" w:eastAsia="仿宋_GB2312" w:cs="Droid Sans"/>
          <w:b w:val="0"/>
          <w:bCs w:val="0"/>
          <w:kern w:val="2"/>
          <w:sz w:val="32"/>
        </w:rPr>
        <w:t>北京教育老干部活动中心（北京教育老干部大学、北京教育老干部党校）包括1个预算单位，即北京教育老干部活动中心（北京教育老干部大学、北京教育老干部党校）。</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（三）人员编制及实有情况</w:t>
      </w:r>
    </w:p>
    <w:p>
      <w:pPr>
        <w:spacing w:line="560" w:lineRule="exact"/>
        <w:ind w:firstLine="640" w:firstLineChars="200"/>
        <w:rPr>
          <w:rFonts w:ascii="仿宋_GB2312" w:eastAsia="仿宋_GB2312"/>
          <w:color w:val="000000"/>
          <w:sz w:val="32"/>
          <w:szCs w:val="32"/>
        </w:rPr>
      </w:pPr>
      <w:r>
        <w:rPr>
          <w:rFonts w:hint="eastAsia" w:ascii="仿宋_GB2312" w:eastAsia="仿宋_GB2312"/>
          <w:sz w:val="32"/>
        </w:rPr>
        <w:t>北京教育老干部活动中心（北京教育老干部大学、北京教育老干部党校）</w:t>
      </w:r>
      <w:r>
        <w:rPr>
          <w:rFonts w:hint="eastAsia" w:ascii="仿宋_GB2312" w:eastAsia="仿宋_GB2312"/>
          <w:color w:val="000000"/>
          <w:sz w:val="32"/>
          <w:szCs w:val="32"/>
        </w:rPr>
        <w:t>行政编制0人，实有人数0人；事业编制26人，实有人数21人；离休人员0人，退休人员20人；其他人员无。</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2023年度收入预算1164.11万元，比2022年年初预算数1309.81万元减少145.7</w:t>
      </w:r>
      <w:r>
        <w:rPr>
          <w:rFonts w:ascii="仿宋_GB2312" w:eastAsia="仿宋_GB2312"/>
          <w:sz w:val="32"/>
          <w:szCs w:val="32"/>
        </w:rPr>
        <w:t>0</w:t>
      </w:r>
      <w:r>
        <w:rPr>
          <w:rFonts w:hint="eastAsia" w:ascii="仿宋_GB2312" w:eastAsia="仿宋_GB2312"/>
          <w:sz w:val="32"/>
          <w:szCs w:val="32"/>
        </w:rPr>
        <w:t>万元，下降11.12%。主要原因</w:t>
      </w:r>
      <w:r>
        <w:rPr>
          <w:rFonts w:hint="eastAsia" w:ascii="仿宋_GB2312" w:eastAsia="仿宋_GB2312"/>
          <w:sz w:val="32"/>
          <w:szCs w:val="32"/>
          <w:lang w:eastAsia="zh-CN"/>
        </w:rPr>
        <w:t>是</w:t>
      </w:r>
      <w:r>
        <w:rPr>
          <w:rFonts w:hint="eastAsia" w:ascii="仿宋_GB2312" w:eastAsia="仿宋_GB2312"/>
          <w:sz w:val="32"/>
          <w:szCs w:val="32"/>
        </w:rPr>
        <w:t>根据事业发展规划，调整项目安排。</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（一）本年财政拨款收入1116.21万元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1.一般公共预算拨款收入1116.21万元。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2.政府性基金预算拨款收入0万元。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3.国有资本经营预算拨款收入0万元。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（二）本年其他资金收入42.4</w:t>
      </w:r>
      <w:r>
        <w:rPr>
          <w:rFonts w:ascii="楷体_GB2312" w:eastAsia="楷体_GB2312"/>
          <w:sz w:val="32"/>
          <w:szCs w:val="32"/>
        </w:rPr>
        <w:t>0</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8.事业单位经营收入42万元。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9.其他收入0.4</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（三）上年结转结余5.5</w:t>
      </w:r>
      <w:r>
        <w:rPr>
          <w:rFonts w:ascii="楷体_GB2312" w:eastAsia="楷体_GB2312"/>
          <w:sz w:val="32"/>
          <w:szCs w:val="32"/>
        </w:rPr>
        <w:t>0</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10.上年结转结余5.5</w:t>
      </w:r>
      <w:r>
        <w:rPr>
          <w:rFonts w:ascii="仿宋_GB2312" w:eastAsia="仿宋_GB2312"/>
          <w:sz w:val="32"/>
          <w:szCs w:val="32"/>
        </w:rPr>
        <w:t>0</w:t>
      </w:r>
      <w:r>
        <w:rPr>
          <w:rFonts w:hint="eastAsia" w:ascii="仿宋_GB2312" w:eastAsia="仿宋_GB2312"/>
          <w:sz w:val="32"/>
          <w:szCs w:val="32"/>
        </w:rPr>
        <w:t>万元。</w:t>
      </w:r>
    </w:p>
    <w:p>
      <w:pPr>
        <w:pStyle w:val="2"/>
        <w:jc w:val="center"/>
        <w:rPr>
          <w:rFonts w:ascii="仿宋_GB2312" w:eastAsia="仿宋_GB2312"/>
          <w:b w:val="0"/>
          <w:bCs w:val="0"/>
          <w:sz w:val="32"/>
        </w:rPr>
      </w:pPr>
      <w:r>
        <w:rPr>
          <w:rFonts w:hint="eastAsia" w:ascii="仿宋_GB2312" w:eastAsia="仿宋_GB2312"/>
          <w:sz w:val="32"/>
        </w:rPr>
        <w:t>图1：收入预算</w:t>
      </w:r>
    </w:p>
    <w:p>
      <w:r>
        <w:rPr>
          <w:rFonts w:hint="eastAsia"/>
        </w:rPr>
        <w:t xml:space="preserve">     </w:t>
      </w:r>
      <w:r>
        <w:drawing>
          <wp:inline distT="0" distB="0" distL="114300" distR="114300">
            <wp:extent cx="4625975" cy="2564765"/>
            <wp:effectExtent l="4445" t="5080" r="17780" b="2095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pacing w:line="560" w:lineRule="exact"/>
        <w:ind w:firstLine="640" w:firstLineChars="200"/>
        <w:rPr>
          <w:rFonts w:ascii="黑体" w:eastAsia="黑体"/>
          <w:sz w:val="32"/>
          <w:szCs w:val="32"/>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2023年支出预算1164.11万元，比2022年年初预算数1309.81万元减少145.7</w:t>
      </w:r>
      <w:r>
        <w:rPr>
          <w:rFonts w:ascii="仿宋_GB2312" w:eastAsia="仿宋_GB2312"/>
          <w:sz w:val="32"/>
          <w:szCs w:val="32"/>
        </w:rPr>
        <w:t>0</w:t>
      </w:r>
      <w:r>
        <w:rPr>
          <w:rFonts w:hint="eastAsia" w:ascii="仿宋_GB2312" w:eastAsia="仿宋_GB2312"/>
          <w:sz w:val="32"/>
          <w:szCs w:val="32"/>
        </w:rPr>
        <w:t>万元，下降11.12%。主要原因是根据事业发展规划，调整项目安排。</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基本支出预算838.13万元，占总支出预算72%，比2022年年初预算数734.54万元增加103.59万元，增长14.10%。</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项目支出预算325.98万元，比2022年年初预算数575.28万元减少249.3</w:t>
      </w:r>
      <w:r>
        <w:rPr>
          <w:rFonts w:ascii="仿宋_GB2312" w:eastAsia="仿宋_GB2312"/>
          <w:sz w:val="32"/>
          <w:szCs w:val="32"/>
        </w:rPr>
        <w:t>0</w:t>
      </w:r>
      <w:r>
        <w:rPr>
          <w:rFonts w:hint="eastAsia" w:ascii="仿宋_GB2312" w:eastAsia="仿宋_GB2312"/>
          <w:sz w:val="32"/>
          <w:szCs w:val="32"/>
        </w:rPr>
        <w:t>万元，下降43.34%。其中：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1.事业单位经营支出42万元。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2.上缴上级支出0万元。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3.对附属单位补助支出0万元。</w:t>
      </w:r>
    </w:p>
    <w:p>
      <w:pPr>
        <w:pStyle w:val="2"/>
        <w:ind w:firstLine="642"/>
        <w:jc w:val="center"/>
      </w:pPr>
      <w:r>
        <w:rPr>
          <w:rFonts w:hint="eastAsia" w:ascii="仿宋_GB2312" w:eastAsia="仿宋_GB2312"/>
          <w:sz w:val="32"/>
        </w:rPr>
        <w:t>图2：基本支出和项目支出情况</w:t>
      </w:r>
    </w:p>
    <w:p>
      <w:pPr>
        <w:jc w:val="center"/>
      </w:pPr>
      <w:r>
        <w:drawing>
          <wp:inline distT="0" distB="0" distL="114300" distR="114300">
            <wp:extent cx="4572000" cy="2743200"/>
            <wp:effectExtent l="4445" t="4445" r="14605" b="1460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pPr>
        <w:spacing w:line="560" w:lineRule="exact"/>
        <w:ind w:firstLine="640" w:firstLineChars="200"/>
        <w:rPr>
          <w:rFonts w:ascii="仿宋_GB2312" w:eastAsia="仿宋_GB2312"/>
          <w:sz w:val="32"/>
          <w:szCs w:val="32"/>
        </w:rPr>
      </w:pPr>
      <w:r>
        <w:rPr>
          <w:rFonts w:hint="eastAsia" w:ascii="仿宋_GB2312" w:eastAsia="仿宋_GB2312"/>
          <w:color w:val="000000"/>
          <w:sz w:val="32"/>
          <w:szCs w:val="32"/>
        </w:rPr>
        <w:t>北京教育老干部活动中心（北京教育老干部大学、北京教育老干部党校）</w:t>
      </w:r>
      <w:r>
        <w:rPr>
          <w:rFonts w:hint="eastAsia" w:ascii="仿宋_GB2312" w:eastAsia="仿宋_GB2312"/>
          <w:sz w:val="32"/>
          <w:szCs w:val="32"/>
        </w:rPr>
        <w:t>因公出国（境）费用、公务接待费、公务用车购置和运行维护费开支单位包括</w:t>
      </w:r>
      <w:r>
        <w:rPr>
          <w:rFonts w:hint="eastAsia" w:ascii="仿宋_GB2312" w:eastAsia="仿宋_GB2312"/>
          <w:color w:val="000000"/>
          <w:sz w:val="32"/>
          <w:szCs w:val="32"/>
        </w:rPr>
        <w:t>北京教育老干部活动中心（北京教育老干部大学、北京教育老干部党校）</w:t>
      </w:r>
      <w:r>
        <w:rPr>
          <w:rFonts w:hint="eastAsia" w:ascii="仿宋_GB2312" w:eastAsia="仿宋_GB2312"/>
          <w:sz w:val="32"/>
          <w:szCs w:val="32"/>
        </w:rPr>
        <w:t>，1个所属单位。其他所属单位2023年无财政拨款安排的“三公”经费预算。</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（二）财政拨款“三公”经费预算情况说明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2023年财政拨款“三公”经费预算0.1</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color w:val="000000"/>
          <w:sz w:val="32"/>
          <w:szCs w:val="32"/>
        </w:rPr>
        <w:t>与2022年“三公”经费财政拨款预算持平</w:t>
      </w:r>
      <w:r>
        <w:rPr>
          <w:rFonts w:hint="eastAsia" w:ascii="仿宋_GB2312" w:eastAsia="仿宋_GB2312"/>
          <w:sz w:val="32"/>
          <w:szCs w:val="32"/>
        </w:rPr>
        <w:t>。其中：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1.因公出国（境）费用。2023年预算数</w:t>
      </w:r>
      <w:r>
        <w:rPr>
          <w:rFonts w:ascii="仿宋_GB2312" w:eastAsia="仿宋_GB2312"/>
          <w:sz w:val="32"/>
          <w:szCs w:val="32"/>
        </w:rPr>
        <w:t>0</w:t>
      </w:r>
      <w:r>
        <w:rPr>
          <w:rFonts w:hint="eastAsia" w:ascii="仿宋_GB2312" w:eastAsia="仿宋_GB2312"/>
          <w:sz w:val="32"/>
          <w:szCs w:val="32"/>
        </w:rPr>
        <w:t>万元，与2022年持平。</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2.公务接待费。2023年预算数0.1</w:t>
      </w:r>
      <w:r>
        <w:rPr>
          <w:rFonts w:ascii="仿宋_GB2312" w:eastAsia="仿宋_GB2312"/>
          <w:sz w:val="32"/>
          <w:szCs w:val="32"/>
        </w:rPr>
        <w:t>0</w:t>
      </w:r>
      <w:r>
        <w:rPr>
          <w:rFonts w:hint="eastAsia" w:ascii="仿宋_GB2312" w:eastAsia="仿宋_GB2312"/>
          <w:sz w:val="32"/>
          <w:szCs w:val="32"/>
        </w:rPr>
        <w:t>万元，与2022年持平。</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3.公务用车购置和运行维护费。2023年预算数</w:t>
      </w:r>
      <w:r>
        <w:rPr>
          <w:rFonts w:ascii="仿宋_GB2312" w:eastAsia="仿宋_GB2312"/>
          <w:sz w:val="32"/>
          <w:szCs w:val="32"/>
        </w:rPr>
        <w:t>0</w:t>
      </w:r>
      <w:r>
        <w:rPr>
          <w:rFonts w:hint="eastAsia" w:ascii="仿宋_GB2312" w:eastAsia="仿宋_GB2312"/>
          <w:sz w:val="32"/>
          <w:szCs w:val="32"/>
        </w:rPr>
        <w:t>万元，与2022年持平。</w:t>
      </w:r>
    </w:p>
    <w:p>
      <w:pPr>
        <w:spacing w:line="560" w:lineRule="exact"/>
        <w:ind w:firstLine="640" w:firstLineChars="200"/>
        <w:rPr>
          <w:rFonts w:ascii="黑体" w:eastAsia="黑体"/>
          <w:sz w:val="32"/>
          <w:szCs w:val="32"/>
        </w:rPr>
      </w:pPr>
      <w:r>
        <w:rPr>
          <w:rFonts w:hint="eastAsia" w:ascii="黑体" w:eastAsia="黑体"/>
          <w:sz w:val="32"/>
          <w:szCs w:val="32"/>
        </w:rPr>
        <w:t>五、其他情况说明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2023年</w:t>
      </w:r>
      <w:r>
        <w:rPr>
          <w:rFonts w:hint="eastAsia" w:ascii="仿宋_GB2312" w:eastAsia="仿宋_GB2312"/>
          <w:color w:val="000000"/>
          <w:sz w:val="32"/>
          <w:szCs w:val="32"/>
        </w:rPr>
        <w:t>北京教育老干部活动中心（北京教育老干部大学、北京教育老干部党校）</w:t>
      </w:r>
      <w:r>
        <w:rPr>
          <w:rFonts w:hint="eastAsia" w:ascii="仿宋_GB2312" w:eastAsia="仿宋_GB2312"/>
          <w:sz w:val="32"/>
          <w:szCs w:val="32"/>
        </w:rPr>
        <w:t>政府采购预算总额175.05万元，其中：政府采购货物预算1.99万元，政府采购工程预算0万元，政府采购服务预算173.06万元。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本单位2023年无政府购买服务预算。</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本单位不在机关运行经费统计范围之内。</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2023年，</w:t>
      </w:r>
      <w:r>
        <w:rPr>
          <w:rFonts w:hint="eastAsia" w:ascii="仿宋_GB2312" w:eastAsia="仿宋_GB2312"/>
          <w:color w:val="000000"/>
          <w:sz w:val="32"/>
          <w:szCs w:val="32"/>
        </w:rPr>
        <w:t>北京教育老干部活动中心（北京教育老干部大学、北京教育老干部党校）</w:t>
      </w:r>
      <w:r>
        <w:rPr>
          <w:rFonts w:hint="eastAsia" w:ascii="仿宋_GB2312" w:eastAsia="仿宋_GB2312"/>
          <w:sz w:val="32"/>
          <w:szCs w:val="32"/>
        </w:rPr>
        <w:t>填报绩效目标的预算项目6个，占本单位本年预算项目6个的100%。填报绩效目标的项目支出预算325.98万元，占本单位本年项目支出预算的100%。</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pPr>
        <w:spacing w:line="560" w:lineRule="exact"/>
        <w:ind w:firstLine="640" w:firstLineChars="200"/>
        <w:rPr>
          <w:rFonts w:ascii="仿宋_GB2312" w:eastAsia="仿宋_GB2312"/>
          <w:sz w:val="32"/>
          <w:szCs w:val="32"/>
        </w:rPr>
      </w:pPr>
      <w:r>
        <w:rPr>
          <w:rFonts w:hint="eastAsia" w:ascii="仿宋_GB2312" w:eastAsia="仿宋_GB2312"/>
          <w:color w:val="000000"/>
          <w:sz w:val="32"/>
          <w:szCs w:val="32"/>
        </w:rPr>
        <w:t>本单位2023年无重点行政事业性收费。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本单位2023</w:t>
      </w:r>
      <w:r>
        <w:rPr>
          <w:rFonts w:hint="eastAsia" w:ascii="仿宋_GB2312" w:eastAsia="仿宋_GB2312"/>
          <w:color w:val="000000"/>
          <w:sz w:val="32"/>
          <w:szCs w:val="32"/>
        </w:rPr>
        <w:t>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2022年底，北京教育老干部活动中心（北京教育老干部大学、北京教育老干部党校）共有车辆1台，共计18.27万元；单位价值50万元以上的通用设备2台（套），共计235.75万元，单位价值100万元以上的专用设备0台（套）、共计0万元。</w:t>
      </w:r>
    </w:p>
    <w:p>
      <w:pPr>
        <w:spacing w:line="56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center"/>
        <w:rPr>
          <w:rFonts w:ascii="方正小标宋简体" w:eastAsia="方正小标宋简体"/>
          <w:color w:val="000000"/>
          <w:sz w:val="36"/>
          <w:szCs w:val="36"/>
        </w:rPr>
      </w:pPr>
    </w:p>
    <w:p>
      <w:pPr>
        <w:pStyle w:val="2"/>
      </w:pPr>
    </w:p>
    <w:p>
      <w:pPr>
        <w:rPr>
          <w:rFonts w:ascii="方正小标宋简体" w:eastAsia="方正小标宋简体"/>
          <w:color w:val="000000"/>
          <w:sz w:val="36"/>
          <w:szCs w:val="36"/>
        </w:rPr>
      </w:pPr>
      <w:r>
        <w:rPr>
          <w:rFonts w:hint="eastAsia" w:ascii="方正小标宋简体" w:eastAsia="方正小标宋简体"/>
          <w:color w:val="000000"/>
          <w:sz w:val="36"/>
          <w:szCs w:val="36"/>
        </w:rPr>
        <w:br w:type="page"/>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2023年度单位预算报表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附件：北京教育老干部活动中心（北京教育老干部大学、北京教育老干部党校）2023年度单位预算报表</w:t>
      </w:r>
      <w:r>
        <w:rPr>
          <w:rFonts w:hint="eastAsia" w:ascii="仿宋_GB2312" w:eastAsia="仿宋_GB2312" w:cs="宋体"/>
          <w:color w:val="000000"/>
          <w:kern w:val="0"/>
          <w:sz w:val="32"/>
          <w:szCs w:val="32"/>
          <w:lang w:val="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Droid Sans">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84hJ9EAAAADAQAADwAAAAAAAAABACAAAAAiAAAAZHJz&#10;L2Rvd25yZXYueG1sUEsBAhQAFAAAAAgAh07iQC5LWKwLAgAAAgQAAA4AAAAAAAAAAQAgAAAAIAEA&#10;AGRycy9lMm9Eb2MueG1sUEsFBgAAAAAGAAYAWQEAAJ0FAAAAAA==&#10;">
              <v:fill on="f" focussize="0,0"/>
              <v:stroke on="f"/>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p>
                </w:txbxContent>
              </v:textbox>
            </v:shape>
          </w:pict>
        </mc:Fallback>
      </mc:AlternateContent>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D263AC"/>
    <w:rsid w:val="000B0777"/>
    <w:rsid w:val="00115253"/>
    <w:rsid w:val="00197B12"/>
    <w:rsid w:val="0020509A"/>
    <w:rsid w:val="0035069B"/>
    <w:rsid w:val="00486E5F"/>
    <w:rsid w:val="005F48FE"/>
    <w:rsid w:val="00766091"/>
    <w:rsid w:val="00791AB9"/>
    <w:rsid w:val="007A1766"/>
    <w:rsid w:val="0094047E"/>
    <w:rsid w:val="00A16BB7"/>
    <w:rsid w:val="00A937D0"/>
    <w:rsid w:val="00AF51C5"/>
    <w:rsid w:val="00C30901"/>
    <w:rsid w:val="00C64692"/>
    <w:rsid w:val="00D126F2"/>
    <w:rsid w:val="00D263AC"/>
    <w:rsid w:val="00D96719"/>
    <w:rsid w:val="00E379D8"/>
    <w:rsid w:val="00F75D54"/>
    <w:rsid w:val="00F867D7"/>
    <w:rsid w:val="02632D3A"/>
    <w:rsid w:val="0424103B"/>
    <w:rsid w:val="04575226"/>
    <w:rsid w:val="046A5C3E"/>
    <w:rsid w:val="061D2950"/>
    <w:rsid w:val="06C26526"/>
    <w:rsid w:val="06D9018E"/>
    <w:rsid w:val="072E2D03"/>
    <w:rsid w:val="08363FF8"/>
    <w:rsid w:val="08851C28"/>
    <w:rsid w:val="0B487E67"/>
    <w:rsid w:val="0BA36EDF"/>
    <w:rsid w:val="0E683054"/>
    <w:rsid w:val="10156028"/>
    <w:rsid w:val="11847227"/>
    <w:rsid w:val="12C556E4"/>
    <w:rsid w:val="14D909B7"/>
    <w:rsid w:val="198A7E0F"/>
    <w:rsid w:val="1D480150"/>
    <w:rsid w:val="1DEA4880"/>
    <w:rsid w:val="1E3B1CB9"/>
    <w:rsid w:val="1E8E2557"/>
    <w:rsid w:val="22476137"/>
    <w:rsid w:val="239F6770"/>
    <w:rsid w:val="261D0472"/>
    <w:rsid w:val="26C21D4D"/>
    <w:rsid w:val="26F226DB"/>
    <w:rsid w:val="28F540B5"/>
    <w:rsid w:val="2C30727A"/>
    <w:rsid w:val="2DD02450"/>
    <w:rsid w:val="31271D7E"/>
    <w:rsid w:val="33F76E5B"/>
    <w:rsid w:val="34805503"/>
    <w:rsid w:val="34BD14C1"/>
    <w:rsid w:val="3B3B2E9E"/>
    <w:rsid w:val="3C96547A"/>
    <w:rsid w:val="416A4625"/>
    <w:rsid w:val="46D34808"/>
    <w:rsid w:val="487D67EE"/>
    <w:rsid w:val="4BBF5158"/>
    <w:rsid w:val="4BCC3FBF"/>
    <w:rsid w:val="4D295708"/>
    <w:rsid w:val="4DDC663C"/>
    <w:rsid w:val="4E472DB9"/>
    <w:rsid w:val="50CC1915"/>
    <w:rsid w:val="533C3AE9"/>
    <w:rsid w:val="57882FA6"/>
    <w:rsid w:val="58E171ED"/>
    <w:rsid w:val="5AC4522F"/>
    <w:rsid w:val="5B2E5D42"/>
    <w:rsid w:val="5B89212F"/>
    <w:rsid w:val="5D655367"/>
    <w:rsid w:val="602F4A43"/>
    <w:rsid w:val="60B975BB"/>
    <w:rsid w:val="61BA725A"/>
    <w:rsid w:val="629D38A9"/>
    <w:rsid w:val="62FC5A5E"/>
    <w:rsid w:val="641D0403"/>
    <w:rsid w:val="66CB13EC"/>
    <w:rsid w:val="66E063DA"/>
    <w:rsid w:val="69D42669"/>
    <w:rsid w:val="6A454DBA"/>
    <w:rsid w:val="6C6851B3"/>
    <w:rsid w:val="6D5E1BB3"/>
    <w:rsid w:val="6D820E59"/>
    <w:rsid w:val="70A70DD6"/>
    <w:rsid w:val="73157EAC"/>
    <w:rsid w:val="73975930"/>
    <w:rsid w:val="76F3415E"/>
    <w:rsid w:val="771E3BF8"/>
    <w:rsid w:val="77F27245"/>
    <w:rsid w:val="7A314A8C"/>
    <w:rsid w:val="7AB06844"/>
    <w:rsid w:val="7C8C0490"/>
    <w:rsid w:val="7DBB10A2"/>
    <w:rsid w:val="7F917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9"/>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2 字符"/>
    <w:basedOn w:val="6"/>
    <w:link w:val="2"/>
    <w:qFormat/>
    <w:uiPriority w:val="0"/>
    <w:rPr>
      <w:rFonts w:ascii="Cambria" w:hAnsi="Cambria" w:eastAsia="黑体" w:cs="Times New Roman"/>
      <w:b/>
      <w:bCs/>
      <w:kern w:val="0"/>
      <w:sz w:val="36"/>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2023&#24180;&#24230;\&#20107;&#20214;\006%20%202023&#24180;&#39044;&#31639;&#20844;&#24320;\&#33609;&#3129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2023&#24180;&#24230;\&#20107;&#20214;\006%20%202023&#24180;&#39044;&#31639;&#20844;&#24320;\&#33609;&#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收入预算</a:t>
            </a:r>
            <a:endParaRPr lang="zh-CN"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1"/>
              <c:layout>
                <c:manualLayout>
                  <c:x val="0.0105351416089824"/>
                  <c:y val="0.131075651592101"/>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0669286632435373"/>
                  <c:y val="-0.027346476312418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0656495463641699"/>
                  <c:y val="0.0161797449998126"/>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'[草稿.xlsx]2023图'!$C$12:$C$15</c:f>
              <c:strCache>
                <c:ptCount val="4"/>
                <c:pt idx="0">
                  <c:v>一般公共预算拨款收入</c:v>
                </c:pt>
                <c:pt idx="1">
                  <c:v>事业单位经营收入</c:v>
                </c:pt>
                <c:pt idx="2">
                  <c:v>其他收入</c:v>
                </c:pt>
                <c:pt idx="3">
                  <c:v>上年结转结余</c:v>
                </c:pt>
              </c:strCache>
            </c:strRef>
          </c:cat>
          <c:val>
            <c:numRef>
              <c:f>'[草稿.xlsx]2023图'!$D$12:$D$15</c:f>
              <c:numCache>
                <c:formatCode>General</c:formatCode>
                <c:ptCount val="4"/>
                <c:pt idx="0">
                  <c:v>1116.21</c:v>
                </c:pt>
                <c:pt idx="1">
                  <c:v>42</c:v>
                </c:pt>
                <c:pt idx="2">
                  <c:v>0.4</c:v>
                </c:pt>
                <c:pt idx="3">
                  <c:v>5.5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138733787836564"/>
                  <c:y val="-0.16254005273860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dLblPos val="ctr"/>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'[草稿.xlsx]2023图'!$C$31:$C$32</c:f>
              <c:strCache>
                <c:ptCount val="2"/>
                <c:pt idx="0">
                  <c:v>基本支出</c:v>
                </c:pt>
                <c:pt idx="1">
                  <c:v>项目支出</c:v>
                </c:pt>
              </c:strCache>
            </c:strRef>
          </c:cat>
          <c:val>
            <c:numRef>
              <c:f>'[草稿.xlsx]2023图'!$D$31:$D$32</c:f>
              <c:numCache>
                <c:formatCode>General</c:formatCode>
                <c:ptCount val="2"/>
                <c:pt idx="0">
                  <c:v>838.14</c:v>
                </c:pt>
                <c:pt idx="1">
                  <c:v>325.98</c:v>
                </c:pt>
              </c:numCache>
            </c:numRef>
          </c:val>
        </c:ser>
        <c:dLbls>
          <c:showLegendKey val="0"/>
          <c:showVal val="1"/>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8</Pages>
  <Words>365</Words>
  <Characters>2085</Characters>
  <Lines>17</Lines>
  <Paragraphs>4</Paragraphs>
  <TotalTime>4</TotalTime>
  <ScaleCrop>false</ScaleCrop>
  <LinksUpToDate>false</LinksUpToDate>
  <CharactersWithSpaces>2446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2023-02-15T02:41:00Z</dcterms:created>
  <dc:creator>li Katherine</dc:creator>
  <cp:lastModifiedBy>苏坡云☁️</cp:lastModifiedBy>
  <dcterms:modified xsi:type="dcterms:W3CDTF">2024-02-26T07:27:38Z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2D20FE13D27A4E38A099805F3BBD380A_12</vt:lpwstr>
  </property>
</Properties>
</file>