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F28FF" w14:textId="77777777" w:rsidR="008647D9"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北京市教师发展中心2023年财政预算信息公开</w:t>
      </w:r>
    </w:p>
    <w:p w14:paraId="66A48C1C" w14:textId="77777777" w:rsidR="008647D9" w:rsidRDefault="008647D9">
      <w:pPr>
        <w:spacing w:line="240" w:lineRule="exact"/>
        <w:jc w:val="center"/>
        <w:rPr>
          <w:rFonts w:ascii="方正小标宋简体" w:eastAsia="方正小标宋简体"/>
          <w:color w:val="000000"/>
          <w:sz w:val="32"/>
          <w:szCs w:val="32"/>
        </w:rPr>
      </w:pPr>
    </w:p>
    <w:p w14:paraId="51A00755" w14:textId="77777777" w:rsidR="008647D9"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034616B5" w14:textId="77777777" w:rsidR="008647D9" w:rsidRDefault="008647D9">
      <w:pPr>
        <w:spacing w:line="240" w:lineRule="exact"/>
        <w:jc w:val="center"/>
        <w:rPr>
          <w:rFonts w:ascii="方正小标宋简体" w:eastAsia="方正小标宋简体"/>
          <w:color w:val="000000"/>
          <w:sz w:val="32"/>
          <w:szCs w:val="32"/>
        </w:rPr>
      </w:pPr>
    </w:p>
    <w:p w14:paraId="32E1D487" w14:textId="77777777" w:rsidR="008647D9"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1CA3106B" w14:textId="77777777" w:rsidR="008647D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14:paraId="36B9AD64" w14:textId="77777777" w:rsidR="008647D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0C3DAAFA" w14:textId="77777777" w:rsidR="008647D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34D4DD89" w14:textId="77777777" w:rsidR="008647D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6543AAC2" w14:textId="77777777" w:rsidR="008647D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6FFAB415" w14:textId="77777777" w:rsidR="008647D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7FDB8123" w14:textId="77777777" w:rsidR="008647D9"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22F61121" w14:textId="77777777" w:rsidR="008647D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54FBEABD" w14:textId="77777777" w:rsidR="008647D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5F694700" w14:textId="77777777" w:rsidR="008647D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64D5ABE1" w14:textId="77777777" w:rsidR="008647D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742FD19E" w14:textId="77777777" w:rsidR="008647D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69899667" w14:textId="77777777" w:rsidR="008647D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5E5BDEEF" w14:textId="77777777" w:rsidR="008647D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058457C9" w14:textId="77777777" w:rsidR="008647D9"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41286F25" w14:textId="77777777" w:rsidR="008647D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473CAFF7" w14:textId="77777777" w:rsidR="008647D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7E37622E" w14:textId="77777777" w:rsidR="008647D9"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2DBE7B8B" w14:textId="77777777" w:rsidR="008647D9"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7F964EA5" w14:textId="77777777" w:rsidR="008647D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8647D9">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w:t>
      </w:r>
    </w:p>
    <w:p w14:paraId="44541743" w14:textId="77777777" w:rsidR="008647D9"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690D40FA" w14:textId="77777777" w:rsidR="008647D9" w:rsidRDefault="008647D9">
      <w:pPr>
        <w:spacing w:line="360" w:lineRule="auto"/>
        <w:rPr>
          <w:rFonts w:ascii="仿宋_GB2312" w:eastAsia="仿宋_GB2312"/>
          <w:color w:val="000000"/>
          <w:sz w:val="32"/>
          <w:szCs w:val="32"/>
        </w:rPr>
      </w:pPr>
    </w:p>
    <w:p w14:paraId="3C829648" w14:textId="77777777" w:rsidR="008647D9"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78CC0B5D" w14:textId="77777777" w:rsidR="008647D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w:t>
      </w:r>
      <w:r>
        <w:rPr>
          <w:rFonts w:ascii="楷体_GB2312" w:eastAsia="楷体_GB2312" w:hint="eastAsia"/>
          <w:sz w:val="32"/>
          <w:szCs w:val="32"/>
        </w:rPr>
        <w:t>单位性质、职</w:t>
      </w:r>
      <w:r>
        <w:rPr>
          <w:rFonts w:ascii="楷体_GB2312" w:eastAsia="楷体_GB2312" w:hint="eastAsia"/>
          <w:color w:val="000000"/>
          <w:sz w:val="32"/>
          <w:szCs w:val="32"/>
        </w:rPr>
        <w:t>责等情况</w:t>
      </w:r>
    </w:p>
    <w:p w14:paraId="46DCEC5D" w14:textId="202D6CE0" w:rsidR="008647D9" w:rsidRDefault="00000000">
      <w:pPr>
        <w:spacing w:line="560" w:lineRule="exact"/>
        <w:ind w:firstLine="556"/>
        <w:rPr>
          <w:rFonts w:ascii="仿宋_GB2312" w:eastAsia="仿宋_GB2312"/>
          <w:sz w:val="32"/>
          <w:szCs w:val="32"/>
        </w:rPr>
      </w:pPr>
      <w:r>
        <w:rPr>
          <w:rFonts w:ascii="仿宋_GB2312" w:eastAsia="仿宋_GB2312" w:hint="eastAsia"/>
          <w:sz w:val="32"/>
          <w:szCs w:val="32"/>
        </w:rPr>
        <w:t>北京市教师发展中心是</w:t>
      </w:r>
      <w:r>
        <w:rPr>
          <w:rFonts w:ascii="仿宋_GB2312" w:eastAsia="仿宋_GB2312"/>
          <w:sz w:val="32"/>
          <w:szCs w:val="32"/>
        </w:rPr>
        <w:t>公益一类事业单位</w:t>
      </w:r>
      <w:r>
        <w:rPr>
          <w:rFonts w:ascii="仿宋_GB2312" w:eastAsia="仿宋_GB2312" w:hint="eastAsia"/>
          <w:sz w:val="32"/>
          <w:szCs w:val="32"/>
        </w:rPr>
        <w:t>，承担市级教育系统人事人才管理、各级各类教育教师培训服务管理等事务性工作。包括：承担师范生履约管理、教师资格认定、编制管理、岗位管理、人员招聘、工资、专业技术职务评审、考核评价、表彰奖励、各级各类人才项目评审、教师管理信息平台建设等管理服务工作；承担北京市教师队伍建设、教师培训、教师发展基地建设的统筹规划、组织实施、监督指导、评估验收等事务性工作。</w:t>
      </w:r>
    </w:p>
    <w:p w14:paraId="2464961C" w14:textId="77777777" w:rsidR="008647D9" w:rsidRDefault="00000000">
      <w:pPr>
        <w:snapToGrid w:val="0"/>
        <w:spacing w:line="52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41DF8058" w14:textId="0E8E1B62" w:rsidR="008647D9" w:rsidRDefault="00000000">
      <w:pPr>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北京市教师发展中心内设机构共8个，分别是教师资格认定指导部、基础教育教师（含干部）发展部、职业教育教师发展部（国培办）、高校教师发展部、人事管理服务部、教育人才评审服务部、信息化建设部、办公室。</w:t>
      </w:r>
    </w:p>
    <w:p w14:paraId="364B9772" w14:textId="77777777" w:rsidR="008647D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0CFDC456" w14:textId="2B769DE3" w:rsidR="008647D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北京市教师发展中心</w:t>
      </w:r>
      <w:r w:rsidR="0057095F" w:rsidRPr="0057095F">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事业编制54人，实有人数</w:t>
      </w:r>
      <w:r>
        <w:rPr>
          <w:rFonts w:ascii="仿宋_GB2312" w:eastAsia="仿宋_GB2312"/>
          <w:color w:val="000000"/>
          <w:sz w:val="32"/>
          <w:szCs w:val="32"/>
        </w:rPr>
        <w:t>40</w:t>
      </w:r>
      <w:r>
        <w:rPr>
          <w:rFonts w:ascii="仿宋_GB2312" w:eastAsia="仿宋_GB2312" w:hint="eastAsia"/>
          <w:color w:val="000000"/>
          <w:sz w:val="32"/>
          <w:szCs w:val="32"/>
        </w:rPr>
        <w:t>人</w:t>
      </w:r>
      <w:r w:rsidR="0057095F">
        <w:rPr>
          <w:rFonts w:ascii="仿宋_GB2312" w:eastAsia="仿宋_GB2312" w:hint="eastAsia"/>
          <w:color w:val="000000"/>
          <w:sz w:val="32"/>
          <w:szCs w:val="32"/>
        </w:rPr>
        <w:t>；离休人员0人，退休人员0人；其他人员无</w:t>
      </w:r>
      <w:r>
        <w:rPr>
          <w:rFonts w:ascii="仿宋_GB2312" w:eastAsia="仿宋_GB2312" w:hint="eastAsia"/>
          <w:color w:val="000000"/>
          <w:sz w:val="32"/>
          <w:szCs w:val="32"/>
        </w:rPr>
        <w:t>。</w:t>
      </w:r>
    </w:p>
    <w:p w14:paraId="7E61DB80" w14:textId="77777777" w:rsidR="008647D9"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774E39D7" w14:textId="638C2F00" w:rsidR="00DD20D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4689.3</w:t>
      </w:r>
      <w:r>
        <w:rPr>
          <w:rFonts w:ascii="仿宋_GB2312" w:eastAsia="仿宋_GB2312" w:hint="eastAsia"/>
          <w:sz w:val="32"/>
          <w:szCs w:val="32"/>
        </w:rPr>
        <w:t>7元，比2022年年初预算数4036.2万元增加653.17万元，增长16.18%。</w:t>
      </w:r>
      <w:r w:rsidR="005436AB" w:rsidRPr="00DD20D8">
        <w:rPr>
          <w:rFonts w:ascii="仿宋_GB2312" w:eastAsia="仿宋_GB2312" w:hint="eastAsia"/>
          <w:sz w:val="32"/>
          <w:szCs w:val="32"/>
        </w:rPr>
        <w:t>主要原因</w:t>
      </w:r>
      <w:r w:rsidR="008D3BCB">
        <w:rPr>
          <w:rFonts w:ascii="仿宋_GB2312" w:eastAsia="仿宋_GB2312" w:hint="eastAsia"/>
          <w:sz w:val="32"/>
          <w:szCs w:val="32"/>
        </w:rPr>
        <w:t>：一</w:t>
      </w:r>
      <w:r w:rsidR="005436AB" w:rsidRPr="00DD20D8">
        <w:rPr>
          <w:rFonts w:ascii="仿宋_GB2312" w:eastAsia="仿宋_GB2312" w:hint="eastAsia"/>
          <w:sz w:val="32"/>
          <w:szCs w:val="32"/>
        </w:rPr>
        <w:lastRenderedPageBreak/>
        <w:t>是落实人员</w:t>
      </w:r>
      <w:r w:rsidR="005862D2">
        <w:rPr>
          <w:rFonts w:ascii="仿宋_GB2312" w:eastAsia="仿宋_GB2312" w:hint="eastAsia"/>
          <w:sz w:val="32"/>
          <w:szCs w:val="32"/>
        </w:rPr>
        <w:t>工资</w:t>
      </w:r>
      <w:r w:rsidR="005436AB" w:rsidRPr="00DD20D8">
        <w:rPr>
          <w:rFonts w:ascii="仿宋_GB2312" w:eastAsia="仿宋_GB2312" w:hint="eastAsia"/>
          <w:sz w:val="32"/>
          <w:szCs w:val="32"/>
        </w:rPr>
        <w:t>等有关政策，人员经费有所增加</w:t>
      </w:r>
      <w:r w:rsidR="005436AB">
        <w:rPr>
          <w:rFonts w:ascii="仿宋_GB2312" w:eastAsia="仿宋_GB2312" w:hint="eastAsia"/>
          <w:sz w:val="32"/>
          <w:szCs w:val="32"/>
        </w:rPr>
        <w:t>；</w:t>
      </w:r>
      <w:r w:rsidR="005436AB" w:rsidRPr="0087193E">
        <w:rPr>
          <w:rFonts w:ascii="仿宋_GB2312" w:eastAsia="仿宋_GB2312" w:hint="eastAsia"/>
          <w:sz w:val="32"/>
          <w:szCs w:val="32"/>
        </w:rPr>
        <w:t>二是根据事业发展需要调整</w:t>
      </w:r>
      <w:r w:rsidR="005436AB">
        <w:rPr>
          <w:rFonts w:ascii="仿宋_GB2312" w:eastAsia="仿宋_GB2312" w:hint="eastAsia"/>
          <w:sz w:val="32"/>
          <w:szCs w:val="32"/>
        </w:rPr>
        <w:t>预算</w:t>
      </w:r>
      <w:r w:rsidR="005436AB" w:rsidRPr="0087193E">
        <w:rPr>
          <w:rFonts w:ascii="仿宋_GB2312" w:eastAsia="仿宋_GB2312" w:hint="eastAsia"/>
          <w:sz w:val="32"/>
          <w:szCs w:val="32"/>
        </w:rPr>
        <w:t>安排。</w:t>
      </w:r>
    </w:p>
    <w:p w14:paraId="182B3701" w14:textId="46E91818"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仿宋_GB2312" w:eastAsia="仿宋_GB2312" w:hint="eastAsia"/>
          <w:sz w:val="32"/>
          <w:szCs w:val="32"/>
        </w:rPr>
        <w:t>3479.03</w:t>
      </w:r>
      <w:r>
        <w:rPr>
          <w:rFonts w:ascii="楷体_GB2312" w:eastAsia="楷体_GB2312" w:hint="eastAsia"/>
          <w:sz w:val="32"/>
          <w:szCs w:val="32"/>
        </w:rPr>
        <w:t>万元</w:t>
      </w:r>
    </w:p>
    <w:p w14:paraId="4CE9DE5B"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1.一般公共预算拨款收入3479.03万元。</w:t>
      </w:r>
    </w:p>
    <w:p w14:paraId="43041D5A"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0FE6ECCD"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2917258D" w14:textId="77777777"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（二）本年其他资金收入1090.84万元</w:t>
      </w:r>
    </w:p>
    <w:p w14:paraId="78086B16"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4.财政专户管理资金收入1090.84万元。</w:t>
      </w:r>
    </w:p>
    <w:p w14:paraId="7601152A"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14:paraId="2295D4EF"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6916A538"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14:paraId="24CD51BA"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14:paraId="73C51420"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9.其他收入0万元。</w:t>
      </w:r>
    </w:p>
    <w:p w14:paraId="6AA1FB5F" w14:textId="77777777"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（三）上年结转结余119.5万元</w:t>
      </w:r>
    </w:p>
    <w:p w14:paraId="63354D24"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10.上年结转结余119.5万元。</w:t>
      </w:r>
    </w:p>
    <w:p w14:paraId="0EDD51EC" w14:textId="2D568837" w:rsidR="008647D9" w:rsidRDefault="00000000">
      <w:pPr>
        <w:pStyle w:val="2"/>
        <w:ind w:firstLineChars="750" w:firstLine="2711"/>
      </w:pPr>
      <w:r>
        <w:rPr>
          <w:rFonts w:hint="eastAsia"/>
        </w:rPr>
        <w:t>图</w:t>
      </w:r>
      <w:r>
        <w:rPr>
          <w:rFonts w:hint="eastAsia"/>
        </w:rPr>
        <w:t>1</w:t>
      </w:r>
      <w:r>
        <w:rPr>
          <w:rFonts w:hint="eastAsia"/>
        </w:rPr>
        <w:t>：收入预算</w:t>
      </w:r>
    </w:p>
    <w:p w14:paraId="5B9C772A" w14:textId="6BB47314" w:rsidR="008647D9" w:rsidRDefault="006A3EB3">
      <w:pPr>
        <w:spacing w:line="560" w:lineRule="exact"/>
        <w:ind w:firstLineChars="200" w:firstLine="640"/>
        <w:rPr>
          <w:rFonts w:ascii="仿宋_GB2312" w:eastAsia="仿宋_GB2312"/>
          <w:sz w:val="32"/>
          <w:szCs w:val="32"/>
        </w:rPr>
      </w:pPr>
      <w:r>
        <w:rPr>
          <w:rFonts w:ascii="仿宋_GB2312" w:eastAsia="仿宋_GB2312" w:hint="eastAsia"/>
          <w:noProof/>
          <w:sz w:val="32"/>
          <w:szCs w:val="32"/>
        </w:rPr>
        <w:drawing>
          <wp:anchor distT="0" distB="0" distL="114300" distR="114300" simplePos="0" relativeHeight="251659264" behindDoc="0" locked="0" layoutInCell="1" allowOverlap="1" wp14:anchorId="57C370E2" wp14:editId="6B356E89">
            <wp:simplePos x="0" y="0"/>
            <wp:positionH relativeFrom="column">
              <wp:posOffset>287655</wp:posOffset>
            </wp:positionH>
            <wp:positionV relativeFrom="paragraph">
              <wp:posOffset>57785</wp:posOffset>
            </wp:positionV>
            <wp:extent cx="4138295" cy="2362835"/>
            <wp:effectExtent l="0" t="0" r="14605" b="18415"/>
            <wp:wrapSquare wrapText="bothSides"/>
            <wp:docPr id="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1C947B73" w14:textId="77777777" w:rsidR="008647D9" w:rsidRDefault="008647D9">
      <w:pPr>
        <w:spacing w:line="560" w:lineRule="exact"/>
        <w:ind w:firstLineChars="200" w:firstLine="640"/>
        <w:rPr>
          <w:rFonts w:ascii="黑体" w:eastAsia="黑体"/>
          <w:sz w:val="32"/>
          <w:szCs w:val="32"/>
        </w:rPr>
      </w:pPr>
    </w:p>
    <w:p w14:paraId="0750A18E" w14:textId="77777777" w:rsidR="008647D9" w:rsidRDefault="008647D9">
      <w:pPr>
        <w:spacing w:line="560" w:lineRule="exact"/>
        <w:ind w:firstLineChars="200" w:firstLine="640"/>
        <w:rPr>
          <w:rFonts w:ascii="黑体" w:eastAsia="黑体"/>
          <w:sz w:val="32"/>
          <w:szCs w:val="32"/>
        </w:rPr>
      </w:pPr>
    </w:p>
    <w:p w14:paraId="3B526F98" w14:textId="77777777" w:rsidR="008647D9" w:rsidRDefault="008647D9">
      <w:pPr>
        <w:spacing w:line="560" w:lineRule="exact"/>
        <w:ind w:firstLineChars="200" w:firstLine="640"/>
        <w:rPr>
          <w:rFonts w:ascii="黑体" w:eastAsia="黑体"/>
          <w:sz w:val="32"/>
          <w:szCs w:val="32"/>
        </w:rPr>
      </w:pPr>
    </w:p>
    <w:p w14:paraId="648FFE19" w14:textId="77777777" w:rsidR="008647D9" w:rsidRDefault="008647D9">
      <w:pPr>
        <w:spacing w:line="560" w:lineRule="exact"/>
        <w:ind w:firstLineChars="200" w:firstLine="640"/>
        <w:rPr>
          <w:rFonts w:ascii="黑体" w:eastAsia="黑体"/>
          <w:sz w:val="32"/>
          <w:szCs w:val="32"/>
        </w:rPr>
      </w:pPr>
    </w:p>
    <w:p w14:paraId="0313E3CC" w14:textId="77777777" w:rsidR="008647D9" w:rsidRDefault="008647D9">
      <w:pPr>
        <w:spacing w:line="560" w:lineRule="exact"/>
        <w:ind w:firstLineChars="200" w:firstLine="640"/>
        <w:rPr>
          <w:rFonts w:ascii="黑体" w:eastAsia="黑体"/>
          <w:sz w:val="32"/>
          <w:szCs w:val="32"/>
        </w:rPr>
      </w:pPr>
    </w:p>
    <w:p w14:paraId="7FA41AAB" w14:textId="77777777" w:rsidR="00314C88" w:rsidRDefault="00314C88">
      <w:pPr>
        <w:spacing w:line="560" w:lineRule="exact"/>
        <w:ind w:firstLineChars="200" w:firstLine="640"/>
        <w:rPr>
          <w:rFonts w:ascii="黑体" w:eastAsia="黑体"/>
          <w:sz w:val="32"/>
          <w:szCs w:val="32"/>
        </w:rPr>
      </w:pPr>
    </w:p>
    <w:p w14:paraId="2D16AD00" w14:textId="67B7577C" w:rsidR="008647D9" w:rsidRDefault="00000000">
      <w:pPr>
        <w:spacing w:line="560" w:lineRule="exact"/>
        <w:ind w:firstLineChars="200" w:firstLine="640"/>
        <w:rPr>
          <w:rFonts w:ascii="黑体" w:eastAsia="黑体"/>
          <w:sz w:val="32"/>
          <w:szCs w:val="32"/>
        </w:rPr>
      </w:pPr>
      <w:r>
        <w:rPr>
          <w:rFonts w:ascii="黑体" w:eastAsia="黑体" w:hint="eastAsia"/>
          <w:sz w:val="32"/>
          <w:szCs w:val="32"/>
        </w:rPr>
        <w:lastRenderedPageBreak/>
        <w:t>三、支出预算情况说明</w:t>
      </w:r>
    </w:p>
    <w:p w14:paraId="3267543E" w14:textId="2A54A302" w:rsidR="005E2DD9" w:rsidRDefault="00000000" w:rsidP="005E2DD9">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4689.3</w:t>
      </w:r>
      <w:r>
        <w:rPr>
          <w:rFonts w:ascii="仿宋_GB2312" w:eastAsia="仿宋_GB2312" w:hint="eastAsia"/>
          <w:sz w:val="32"/>
          <w:szCs w:val="32"/>
        </w:rPr>
        <w:t>7万元，比2022年年初预算数</w:t>
      </w:r>
      <w:r>
        <w:rPr>
          <w:rFonts w:ascii="仿宋_GB2312" w:eastAsia="仿宋_GB2312"/>
          <w:sz w:val="32"/>
          <w:szCs w:val="32"/>
        </w:rPr>
        <w:t>4036.2</w:t>
      </w:r>
      <w:r>
        <w:rPr>
          <w:rFonts w:ascii="仿宋_GB2312" w:eastAsia="仿宋_GB2312" w:hint="eastAsia"/>
          <w:sz w:val="32"/>
          <w:szCs w:val="32"/>
        </w:rPr>
        <w:t>1万元增加653.17万元，增长16.18%。</w:t>
      </w:r>
      <w:r w:rsidR="005E2DD9" w:rsidRPr="00DD20D8">
        <w:rPr>
          <w:rFonts w:ascii="仿宋_GB2312" w:eastAsia="仿宋_GB2312" w:hint="eastAsia"/>
          <w:sz w:val="32"/>
          <w:szCs w:val="32"/>
        </w:rPr>
        <w:t>主要原因</w:t>
      </w:r>
      <w:r w:rsidR="008D3BCB">
        <w:rPr>
          <w:rFonts w:ascii="仿宋_GB2312" w:eastAsia="仿宋_GB2312" w:hint="eastAsia"/>
          <w:sz w:val="32"/>
          <w:szCs w:val="32"/>
        </w:rPr>
        <w:t>：一</w:t>
      </w:r>
      <w:r w:rsidR="005E2DD9" w:rsidRPr="00DD20D8">
        <w:rPr>
          <w:rFonts w:ascii="仿宋_GB2312" w:eastAsia="仿宋_GB2312" w:hint="eastAsia"/>
          <w:sz w:val="32"/>
          <w:szCs w:val="32"/>
        </w:rPr>
        <w:t>是落实人员</w:t>
      </w:r>
      <w:r w:rsidR="005862D2">
        <w:rPr>
          <w:rFonts w:ascii="仿宋_GB2312" w:eastAsia="仿宋_GB2312" w:hint="eastAsia"/>
          <w:sz w:val="32"/>
          <w:szCs w:val="32"/>
        </w:rPr>
        <w:t>工资</w:t>
      </w:r>
      <w:r w:rsidR="005E2DD9" w:rsidRPr="00DD20D8">
        <w:rPr>
          <w:rFonts w:ascii="仿宋_GB2312" w:eastAsia="仿宋_GB2312" w:hint="eastAsia"/>
          <w:sz w:val="32"/>
          <w:szCs w:val="32"/>
        </w:rPr>
        <w:t>等有关政策，人员经费有所增加</w:t>
      </w:r>
      <w:r w:rsidR="0087193E">
        <w:rPr>
          <w:rFonts w:ascii="仿宋_GB2312" w:eastAsia="仿宋_GB2312" w:hint="eastAsia"/>
          <w:sz w:val="32"/>
          <w:szCs w:val="32"/>
        </w:rPr>
        <w:t>；</w:t>
      </w:r>
      <w:r w:rsidR="0087193E" w:rsidRPr="0087193E">
        <w:rPr>
          <w:rFonts w:ascii="仿宋_GB2312" w:eastAsia="仿宋_GB2312" w:hint="eastAsia"/>
          <w:sz w:val="32"/>
          <w:szCs w:val="32"/>
        </w:rPr>
        <w:t>二是根据事业发展需要调整</w:t>
      </w:r>
      <w:r w:rsidR="0087193E">
        <w:rPr>
          <w:rFonts w:ascii="仿宋_GB2312" w:eastAsia="仿宋_GB2312" w:hint="eastAsia"/>
          <w:sz w:val="32"/>
          <w:szCs w:val="32"/>
        </w:rPr>
        <w:t>预算</w:t>
      </w:r>
      <w:r w:rsidR="0087193E" w:rsidRPr="0087193E">
        <w:rPr>
          <w:rFonts w:ascii="仿宋_GB2312" w:eastAsia="仿宋_GB2312" w:hint="eastAsia"/>
          <w:sz w:val="32"/>
          <w:szCs w:val="32"/>
        </w:rPr>
        <w:t>安排。</w:t>
      </w:r>
    </w:p>
    <w:p w14:paraId="0E9D6A65" w14:textId="77777777" w:rsidR="008647D9"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1595.2</w:t>
      </w:r>
      <w:r>
        <w:rPr>
          <w:rFonts w:ascii="仿宋_GB2312" w:eastAsia="仿宋_GB2312" w:hint="eastAsia"/>
          <w:sz w:val="32"/>
          <w:szCs w:val="32"/>
        </w:rPr>
        <w:t>3万元，占总支出预算34.02%，比2022年年初预算数905.98万元增加689.25万元，增长76.08%。</w:t>
      </w:r>
    </w:p>
    <w:p w14:paraId="480768A7" w14:textId="77777777" w:rsidR="008647D9"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3094.14</w:t>
      </w:r>
      <w:r>
        <w:rPr>
          <w:rFonts w:ascii="仿宋_GB2312" w:eastAsia="仿宋_GB2312" w:hint="eastAsia"/>
          <w:sz w:val="32"/>
          <w:szCs w:val="32"/>
        </w:rPr>
        <w:t>万元，比2022年年初预算数3130.23万元减少36.09万元，下降1.15%。其中：</w:t>
      </w:r>
    </w:p>
    <w:p w14:paraId="5F469ED7" w14:textId="77777777" w:rsidR="008647D9"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33488595" w14:textId="77777777" w:rsidR="008647D9"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0039790E" w14:textId="77777777" w:rsidR="008647D9"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37E5ABFC" w14:textId="77777777" w:rsidR="008647D9" w:rsidRDefault="00000000">
      <w:pPr>
        <w:spacing w:line="560" w:lineRule="exact"/>
        <w:ind w:firstLine="640"/>
        <w:jc w:val="center"/>
        <w:rPr>
          <w:rFonts w:ascii="黑体" w:eastAsia="黑体"/>
          <w:sz w:val="32"/>
          <w:szCs w:val="32"/>
        </w:rPr>
      </w:pPr>
      <w:r>
        <w:rPr>
          <w:rFonts w:ascii="黑体" w:eastAsia="黑体" w:hint="eastAsia"/>
          <w:sz w:val="32"/>
          <w:szCs w:val="32"/>
        </w:rPr>
        <w:t>图2：基本支出和项目支出情况</w:t>
      </w:r>
    </w:p>
    <w:p w14:paraId="0103A83C" w14:textId="77777777" w:rsidR="008647D9" w:rsidRDefault="00000000">
      <w:pPr>
        <w:pStyle w:val="2"/>
        <w:ind w:firstLineChars="300" w:firstLine="1084"/>
      </w:pPr>
      <w:r>
        <w:rPr>
          <w:noProof/>
        </w:rPr>
        <w:drawing>
          <wp:inline distT="0" distB="0" distL="0" distR="0" wp14:anchorId="2B73A5DD" wp14:editId="0EAEDBF1">
            <wp:extent cx="4076700" cy="2524125"/>
            <wp:effectExtent l="0" t="0" r="0" b="0"/>
            <wp:docPr id="8"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459C4D1" w14:textId="77777777" w:rsidR="008647D9" w:rsidRDefault="008647D9">
      <w:pPr>
        <w:spacing w:line="560" w:lineRule="exact"/>
        <w:ind w:firstLineChars="200" w:firstLine="640"/>
        <w:rPr>
          <w:rFonts w:ascii="黑体" w:eastAsia="黑体"/>
          <w:sz w:val="32"/>
          <w:szCs w:val="32"/>
        </w:rPr>
      </w:pPr>
    </w:p>
    <w:p w14:paraId="02E03031" w14:textId="77777777" w:rsidR="008647D9" w:rsidRDefault="00000000">
      <w:pPr>
        <w:spacing w:line="560" w:lineRule="exact"/>
        <w:ind w:firstLineChars="200" w:firstLine="640"/>
        <w:rPr>
          <w:rFonts w:ascii="黑体" w:eastAsia="黑体"/>
          <w:sz w:val="32"/>
          <w:szCs w:val="32"/>
        </w:rPr>
      </w:pPr>
      <w:r>
        <w:rPr>
          <w:rFonts w:ascii="黑体" w:eastAsia="黑体" w:hint="eastAsia"/>
          <w:sz w:val="32"/>
          <w:szCs w:val="32"/>
        </w:rPr>
        <w:lastRenderedPageBreak/>
        <w:t>四、财政拨款“三公”经费预算情况说明</w:t>
      </w:r>
    </w:p>
    <w:p w14:paraId="6DA5717E"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2023年财政拨款“三公”经费预算19.25万元，比2022年财政拨款“三公”经费预算增加19.15万元。其中：</w:t>
      </w:r>
    </w:p>
    <w:p w14:paraId="7EFFD759"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1.因公出国（境）费用。2023年预算数0万元，</w:t>
      </w:r>
      <w:r>
        <w:rPr>
          <w:rFonts w:ascii="仿宋_GB2312" w:eastAsia="仿宋_GB2312" w:hAnsi="仿宋_GB2312" w:cs="仿宋_GB2312" w:hint="eastAsia"/>
          <w:sz w:val="32"/>
          <w:szCs w:val="32"/>
        </w:rPr>
        <w:t>与2022年持平</w:t>
      </w:r>
      <w:r>
        <w:rPr>
          <w:rFonts w:ascii="仿宋_GB2312" w:eastAsia="仿宋_GB2312" w:hint="eastAsia"/>
          <w:sz w:val="32"/>
          <w:szCs w:val="32"/>
        </w:rPr>
        <w:t>。</w:t>
      </w:r>
    </w:p>
    <w:p w14:paraId="37F57847"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w:t>
      </w:r>
      <w:r>
        <w:rPr>
          <w:rFonts w:ascii="仿宋_GB2312" w:eastAsia="仿宋_GB2312"/>
          <w:sz w:val="32"/>
          <w:szCs w:val="32"/>
        </w:rPr>
        <w:t>09</w:t>
      </w:r>
      <w:r>
        <w:rPr>
          <w:rFonts w:ascii="仿宋_GB2312" w:eastAsia="仿宋_GB2312" w:hint="eastAsia"/>
          <w:sz w:val="32"/>
          <w:szCs w:val="32"/>
        </w:rPr>
        <w:t>万元，比2022年年初预算数0.</w:t>
      </w:r>
      <w:r>
        <w:rPr>
          <w:rFonts w:ascii="仿宋_GB2312" w:eastAsia="仿宋_GB2312"/>
          <w:sz w:val="32"/>
          <w:szCs w:val="32"/>
        </w:rPr>
        <w:t>1</w:t>
      </w:r>
      <w:r>
        <w:rPr>
          <w:rFonts w:ascii="仿宋_GB2312" w:eastAsia="仿宋_GB2312" w:hint="eastAsia"/>
          <w:sz w:val="32"/>
          <w:szCs w:val="32"/>
        </w:rPr>
        <w:t>万元减少</w:t>
      </w:r>
      <w:r>
        <w:rPr>
          <w:rFonts w:ascii="仿宋_GB2312" w:eastAsia="仿宋_GB2312"/>
          <w:sz w:val="32"/>
          <w:szCs w:val="32"/>
        </w:rPr>
        <w:t>0.</w:t>
      </w:r>
      <w:r>
        <w:rPr>
          <w:rFonts w:ascii="仿宋_GB2312" w:eastAsia="仿宋_GB2312" w:hint="eastAsia"/>
          <w:sz w:val="32"/>
          <w:szCs w:val="32"/>
        </w:rPr>
        <w:t>01万元，主要原因：落实政府“过紧日子”要求，进一步压减一般性支出。</w:t>
      </w:r>
    </w:p>
    <w:p w14:paraId="5F141AE0" w14:textId="0289CBC8"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3.公务用车购置和运行维护费。2023年预算数19.16万元，其中，公务用车购置费2023年预算数17.98万元，比2022年年初预算数0万元增加17.98万元，主要原因</w:t>
      </w:r>
      <w:r w:rsidR="00A42E60">
        <w:rPr>
          <w:rFonts w:ascii="仿宋_GB2312" w:eastAsia="仿宋_GB2312" w:hint="eastAsia"/>
          <w:sz w:val="32"/>
          <w:szCs w:val="32"/>
        </w:rPr>
        <w:t>是根据实际需要，更新公务用车</w:t>
      </w:r>
      <w:r>
        <w:rPr>
          <w:rFonts w:ascii="仿宋_GB2312" w:eastAsia="仿宋_GB2312" w:hint="eastAsia"/>
          <w:sz w:val="32"/>
          <w:szCs w:val="32"/>
        </w:rPr>
        <w:t>；公务用车运行维护费2023年预算数1.18万元，其中：公务用车燃油0万元，公务用车维修0.43万元，公务用车保险0.43万元，其他支出0.32万元。公务用车运行维护费2023年预算数比2022年年初预算数0万元增加1.18万元。主要原因</w:t>
      </w:r>
      <w:r w:rsidR="00A42E60">
        <w:rPr>
          <w:rFonts w:ascii="仿宋_GB2312" w:eastAsia="仿宋_GB2312" w:hint="eastAsia"/>
          <w:sz w:val="32"/>
          <w:szCs w:val="32"/>
        </w:rPr>
        <w:t>是根据车辆运行实际情况，运行维护费有所增加</w:t>
      </w:r>
      <w:r>
        <w:rPr>
          <w:rFonts w:ascii="仿宋_GB2312" w:eastAsia="仿宋_GB2312" w:hint="eastAsia"/>
          <w:sz w:val="32"/>
          <w:szCs w:val="32"/>
        </w:rPr>
        <w:t>。</w:t>
      </w:r>
    </w:p>
    <w:p w14:paraId="2157F079" w14:textId="77777777" w:rsidR="008647D9"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45B1176A" w14:textId="77777777"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35DC25F5"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2023年北京市教师发展中心政府采购预算总额808.78万元，其中：政府采购货物预算124.48万元，政府采购工程预算0万元，政府采购服务预算684.3万元。</w:t>
      </w:r>
    </w:p>
    <w:p w14:paraId="59A909C9" w14:textId="77777777"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44E93F6F"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2023年北京市教师发展中心政府购买服务预算总额0万</w:t>
      </w:r>
      <w:r>
        <w:rPr>
          <w:rFonts w:ascii="仿宋_GB2312" w:eastAsia="仿宋_GB2312" w:hint="eastAsia"/>
          <w:sz w:val="32"/>
          <w:szCs w:val="32"/>
        </w:rPr>
        <w:lastRenderedPageBreak/>
        <w:t>元。</w:t>
      </w:r>
    </w:p>
    <w:p w14:paraId="43334FE1" w14:textId="77777777"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228C3A50"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14:paraId="78A5E527" w14:textId="77777777"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0F54FE0F" w14:textId="77777777" w:rsidR="008647D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2023年，北京市教师发展中心单位填报绩效目标的预算项目15个，占本单位本年预算项目15个的100%。填报绩效目标的项目支出预算3019.64万元，占本单位本年项目支出预算的100%。</w:t>
      </w:r>
    </w:p>
    <w:p w14:paraId="4AA346B6" w14:textId="77777777"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74DC95F8" w14:textId="77777777" w:rsidR="008647D9" w:rsidRDefault="00000000">
      <w:pPr>
        <w:spacing w:line="560" w:lineRule="exact"/>
        <w:ind w:firstLineChars="200" w:firstLine="640"/>
        <w:rPr>
          <w:rFonts w:ascii="楷体_GB2312" w:eastAsia="楷体_GB2312"/>
          <w:sz w:val="32"/>
          <w:szCs w:val="32"/>
        </w:rPr>
      </w:pPr>
      <w:r>
        <w:rPr>
          <w:rFonts w:ascii="仿宋_GB2312" w:eastAsia="仿宋_GB2312" w:hint="eastAsia"/>
          <w:sz w:val="32"/>
        </w:rPr>
        <w:t>本单位2023年无重点行政事业性收费</w:t>
      </w:r>
    </w:p>
    <w:p w14:paraId="4D7253D6" w14:textId="77777777" w:rsidR="008647D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3607259D" w14:textId="77777777" w:rsidR="008647D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4B3ACEF4" w14:textId="77777777" w:rsidR="008647D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A223518" w14:textId="77777777" w:rsidR="008647D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截至2022年底，北京市教师发展中心单位共有车辆1台，共计10.66万元；单位价值50万元以上的通用设备0台（套），共计0万元，单位价值100万元以上的专用设备0台（套）、共计0万元。</w:t>
      </w:r>
    </w:p>
    <w:p w14:paraId="7D5B9402" w14:textId="77777777" w:rsidR="008647D9" w:rsidRDefault="00000000">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14:paraId="3D4A1D11" w14:textId="77777777" w:rsidR="008647D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5F49F741" w14:textId="77777777" w:rsidR="008647D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339F6FE6" w14:textId="77777777" w:rsidR="008647D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w:t>
      </w:r>
      <w:r>
        <w:rPr>
          <w:rFonts w:ascii="仿宋_GB2312" w:eastAsia="仿宋_GB2312" w:hint="eastAsia"/>
          <w:color w:val="000000"/>
          <w:sz w:val="32"/>
          <w:szCs w:val="32"/>
        </w:rPr>
        <w:lastRenderedPageBreak/>
        <w:t>安排的因公出国（境）费用、公务接待费、公务用车购置和运行维护费预算数。</w:t>
      </w:r>
    </w:p>
    <w:p w14:paraId="1F538790" w14:textId="77777777" w:rsidR="008647D9" w:rsidRDefault="008647D9">
      <w:pPr>
        <w:pStyle w:val="2"/>
      </w:pPr>
    </w:p>
    <w:p w14:paraId="1E4C3113" w14:textId="77777777" w:rsidR="00E60C0A" w:rsidRDefault="00E60C0A">
      <w:pPr>
        <w:spacing w:line="560" w:lineRule="exact"/>
        <w:jc w:val="center"/>
        <w:rPr>
          <w:rFonts w:ascii="方正小标宋简体" w:eastAsia="方正小标宋简体"/>
          <w:color w:val="000000"/>
          <w:sz w:val="36"/>
          <w:szCs w:val="36"/>
        </w:rPr>
        <w:sectPr w:rsidR="00E60C0A">
          <w:footerReference w:type="default" r:id="rId11"/>
          <w:pgSz w:w="11906" w:h="16838"/>
          <w:pgMar w:top="1440" w:right="1800" w:bottom="1440" w:left="1800" w:header="851" w:footer="992" w:gutter="0"/>
          <w:cols w:space="425"/>
          <w:docGrid w:type="lines" w:linePitch="312"/>
        </w:sectPr>
      </w:pPr>
    </w:p>
    <w:p w14:paraId="62846153" w14:textId="77777777" w:rsidR="008647D9"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0B9687F8" w14:textId="77777777" w:rsidR="008647D9" w:rsidRDefault="008647D9">
      <w:pPr>
        <w:autoSpaceDE w:val="0"/>
        <w:autoSpaceDN w:val="0"/>
        <w:adjustRightInd w:val="0"/>
        <w:spacing w:line="560" w:lineRule="exact"/>
        <w:jc w:val="left"/>
        <w:rPr>
          <w:rFonts w:ascii="仿宋_GB2312" w:eastAsia="仿宋_GB2312"/>
          <w:color w:val="000000"/>
          <w:sz w:val="32"/>
          <w:szCs w:val="32"/>
        </w:rPr>
      </w:pPr>
    </w:p>
    <w:p w14:paraId="28EAEE44" w14:textId="77777777" w:rsidR="008647D9" w:rsidRDefault="00000000">
      <w:pPr>
        <w:autoSpaceDE w:val="0"/>
        <w:autoSpaceDN w:val="0"/>
        <w:adjustRightInd w:val="0"/>
        <w:spacing w:line="560" w:lineRule="exact"/>
        <w:jc w:val="left"/>
        <w:rPr>
          <w:rFonts w:ascii="方正小标宋简体" w:eastAsia="方正小标宋简体"/>
          <w:color w:val="000000"/>
          <w:sz w:val="36"/>
          <w:szCs w:val="36"/>
        </w:rPr>
      </w:pPr>
      <w:r>
        <w:rPr>
          <w:rFonts w:ascii="仿宋_GB2312" w:eastAsia="仿宋_GB2312" w:hint="eastAsia"/>
          <w:color w:val="000000"/>
          <w:sz w:val="32"/>
          <w:szCs w:val="32"/>
        </w:rPr>
        <w:t>附件：北京市教师发展中心2023年度单位预算报表</w:t>
      </w:r>
    </w:p>
    <w:sectPr w:rsidR="008647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42095" w14:textId="77777777" w:rsidR="00817BA8" w:rsidRDefault="00817BA8">
      <w:r>
        <w:separator/>
      </w:r>
    </w:p>
  </w:endnote>
  <w:endnote w:type="continuationSeparator" w:id="0">
    <w:p w14:paraId="7F30A249" w14:textId="77777777" w:rsidR="00817BA8" w:rsidRDefault="0081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95A2" w14:textId="77777777" w:rsidR="008647D9" w:rsidRDefault="00000000">
    <w:pPr>
      <w:pStyle w:val="a5"/>
      <w:jc w:val="right"/>
      <w:rPr>
        <w:rFonts w:ascii="宋体" w:hAnsi="宋体"/>
        <w:sz w:val="28"/>
        <w:szCs w:val="28"/>
      </w:rPr>
    </w:pPr>
    <w:r>
      <w:rPr>
        <w:noProof/>
        <w:sz w:val="28"/>
      </w:rPr>
      <mc:AlternateContent>
        <mc:Choice Requires="wps">
          <w:drawing>
            <wp:anchor distT="0" distB="0" distL="114300" distR="114300" simplePos="0" relativeHeight="251661312" behindDoc="0" locked="0" layoutInCell="1" allowOverlap="1" wp14:anchorId="2F31ECA7" wp14:editId="29509EAE">
              <wp:simplePos x="0" y="0"/>
              <wp:positionH relativeFrom="margin">
                <wp:align>outside</wp:align>
              </wp:positionH>
              <wp:positionV relativeFrom="paragraph">
                <wp:posOffset>0</wp:posOffset>
              </wp:positionV>
              <wp:extent cx="445135" cy="230505"/>
              <wp:effectExtent l="0" t="0" r="0" b="0"/>
              <wp:wrapNone/>
              <wp:docPr id="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ffectLst/>
                    </wps:spPr>
                    <wps:txbx>
                      <w:txbxContent>
                        <w:p w14:paraId="15D0F006" w14:textId="77777777" w:rsidR="008647D9"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2F31ECA7" id="_x0000_t202" coordsize="21600,21600" o:spt="202" path="m,l,21600r21600,l21600,xe">
              <v:stroke joinstyle="miter"/>
              <v:path gradientshapeok="t" o:connecttype="rect"/>
            </v:shapetype>
            <v:shape id="文本框 4" o:spid="_x0000_s1026" type="#_x0000_t202" style="position:absolute;left:0;text-align:left;margin-left:-16.15pt;margin-top:0;width:35.05pt;height:18.15pt;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" filled="f" stroked="f">
              <v:textbox style="mso-fit-shape-to-text:t" inset="0,0,0,0">
                <w:txbxContent>
                  <w:p w14:paraId="15D0F006" w14:textId="77777777" w:rsidR="008647D9"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w10:wrap anchorx="margin"/>
            </v:shape>
          </w:pict>
        </mc:Fallback>
      </mc:AlternateContent>
    </w:r>
  </w:p>
  <w:p w14:paraId="415D1808" w14:textId="77777777" w:rsidR="008647D9" w:rsidRDefault="008647D9">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D2A2" w14:textId="77777777" w:rsidR="008647D9" w:rsidRDefault="00000000">
    <w:pPr>
      <w:pStyle w:val="a5"/>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14:anchorId="14E45527" wp14:editId="16A367C7">
              <wp:simplePos x="0" y="0"/>
              <wp:positionH relativeFrom="margin">
                <wp:align>outside</wp:align>
              </wp:positionH>
              <wp:positionV relativeFrom="paragraph">
                <wp:posOffset>0</wp:posOffset>
              </wp:positionV>
              <wp:extent cx="445135" cy="230505"/>
              <wp:effectExtent l="0" t="0" r="0" b="0"/>
              <wp:wrapNone/>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ffectLst/>
                    </wps:spPr>
                    <wps:txbx>
                      <w:txbxContent>
                        <w:p w14:paraId="65DDE5A4" w14:textId="77777777" w:rsidR="008647D9"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14E45527" id="_x0000_t202" coordsize="21600,21600" o:spt="202" path="m,l,21600r21600,l21600,xe">
              <v:stroke joinstyle="miter"/>
              <v:path gradientshapeok="t" o:connecttype="rect"/>
            </v:shapetype>
            <v:shape id="文本框 3" o:spid="_x0000_s1027" type="#_x0000_t202" style="position:absolute;left:0;text-align:left;margin-left:-16.15pt;margin-top:0;width:35.05pt;height:18.15pt;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" filled="f" stroked="f">
              <v:textbox style="mso-fit-shape-to-text:t" inset="0,0,0,0">
                <w:txbxContent>
                  <w:p w14:paraId="65DDE5A4" w14:textId="77777777" w:rsidR="008647D9"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txbxContent>
              </v:textbox>
              <w10:wrap anchorx="margin"/>
            </v:shape>
          </w:pict>
        </mc:Fallback>
      </mc:AlternateContent>
    </w:r>
  </w:p>
  <w:p w14:paraId="3F769B52" w14:textId="77777777" w:rsidR="008647D9" w:rsidRDefault="008647D9">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11947" w14:textId="77777777" w:rsidR="00817BA8" w:rsidRDefault="00817BA8">
      <w:r>
        <w:separator/>
      </w:r>
    </w:p>
  </w:footnote>
  <w:footnote w:type="continuationSeparator" w:id="0">
    <w:p w14:paraId="1E0DD091" w14:textId="77777777" w:rsidR="00817BA8" w:rsidRDefault="00817B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k3YzUxOTc2MTAyNGNjZTU1YWUwNTU5OGI2YTZkODUifQ=="/>
  </w:docVars>
  <w:rsids>
    <w:rsidRoot w:val="00D263AC"/>
    <w:rsid w:val="00024A25"/>
    <w:rsid w:val="000442FE"/>
    <w:rsid w:val="000C315F"/>
    <w:rsid w:val="00102F27"/>
    <w:rsid w:val="00167BBD"/>
    <w:rsid w:val="00172143"/>
    <w:rsid w:val="00181A78"/>
    <w:rsid w:val="001D755A"/>
    <w:rsid w:val="00233C47"/>
    <w:rsid w:val="00244457"/>
    <w:rsid w:val="002A5742"/>
    <w:rsid w:val="002B4A69"/>
    <w:rsid w:val="00314C88"/>
    <w:rsid w:val="00335F40"/>
    <w:rsid w:val="0035069B"/>
    <w:rsid w:val="0037727D"/>
    <w:rsid w:val="003D7FD0"/>
    <w:rsid w:val="003F2A18"/>
    <w:rsid w:val="0044062A"/>
    <w:rsid w:val="0045155C"/>
    <w:rsid w:val="004F0F3C"/>
    <w:rsid w:val="004F1693"/>
    <w:rsid w:val="00505C9C"/>
    <w:rsid w:val="0052748C"/>
    <w:rsid w:val="005436AB"/>
    <w:rsid w:val="00561BC6"/>
    <w:rsid w:val="00563F62"/>
    <w:rsid w:val="0057095F"/>
    <w:rsid w:val="00573E26"/>
    <w:rsid w:val="00576386"/>
    <w:rsid w:val="005862D2"/>
    <w:rsid w:val="005B5DF8"/>
    <w:rsid w:val="005B5F92"/>
    <w:rsid w:val="005C08C9"/>
    <w:rsid w:val="005C2D70"/>
    <w:rsid w:val="005E087B"/>
    <w:rsid w:val="005E2DD9"/>
    <w:rsid w:val="00675297"/>
    <w:rsid w:val="006A3EB3"/>
    <w:rsid w:val="0075710E"/>
    <w:rsid w:val="00797412"/>
    <w:rsid w:val="007D6082"/>
    <w:rsid w:val="00817BA8"/>
    <w:rsid w:val="008230F8"/>
    <w:rsid w:val="008425F3"/>
    <w:rsid w:val="008623B5"/>
    <w:rsid w:val="008647D9"/>
    <w:rsid w:val="0087019F"/>
    <w:rsid w:val="0087193E"/>
    <w:rsid w:val="00876670"/>
    <w:rsid w:val="008B4448"/>
    <w:rsid w:val="008C0972"/>
    <w:rsid w:val="008D3BCB"/>
    <w:rsid w:val="008F0B57"/>
    <w:rsid w:val="00903E9F"/>
    <w:rsid w:val="00950DF2"/>
    <w:rsid w:val="00974F31"/>
    <w:rsid w:val="00A16BB7"/>
    <w:rsid w:val="00A42E60"/>
    <w:rsid w:val="00A65C20"/>
    <w:rsid w:val="00AC0E26"/>
    <w:rsid w:val="00AE11E4"/>
    <w:rsid w:val="00B477A7"/>
    <w:rsid w:val="00C20A2A"/>
    <w:rsid w:val="00C30CB6"/>
    <w:rsid w:val="00C9778F"/>
    <w:rsid w:val="00CF0CF9"/>
    <w:rsid w:val="00D126F2"/>
    <w:rsid w:val="00D13BAF"/>
    <w:rsid w:val="00D263AC"/>
    <w:rsid w:val="00D37A3C"/>
    <w:rsid w:val="00DD01E0"/>
    <w:rsid w:val="00DD20D8"/>
    <w:rsid w:val="00DE7597"/>
    <w:rsid w:val="00DF489A"/>
    <w:rsid w:val="00E32713"/>
    <w:rsid w:val="00E60C0A"/>
    <w:rsid w:val="00E844FC"/>
    <w:rsid w:val="00E93FD6"/>
    <w:rsid w:val="00ED3142"/>
    <w:rsid w:val="00F17D7F"/>
    <w:rsid w:val="00F53800"/>
    <w:rsid w:val="00F67719"/>
    <w:rsid w:val="191453AB"/>
    <w:rsid w:val="3D4251CC"/>
    <w:rsid w:val="3FA81D18"/>
    <w:rsid w:val="64761C90"/>
    <w:rsid w:val="69F24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D746E58"/>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character" w:customStyle="1" w:styleId="a4">
    <w:name w:val="批注框文本 字符"/>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收入预算</a:t>
            </a:r>
          </a:p>
        </c:rich>
      </c:tx>
      <c:overlay val="0"/>
    </c:title>
    <c:autoTitleDeleted val="0"/>
    <c:plotArea>
      <c:layout/>
      <c:pieChart>
        <c:varyColors val="1"/>
        <c:ser>
          <c:idx val="0"/>
          <c:order val="0"/>
          <c:dPt>
            <c:idx val="0"/>
            <c:bubble3D val="0"/>
            <c:extLst>
              <c:ext xmlns:c16="http://schemas.microsoft.com/office/drawing/2014/chart" uri="{C3380CC4-5D6E-409C-BE32-E72D297353CC}">
                <c16:uniqueId val="{00000000-8D55-4226-B4DB-0D6B7C9FC7F7}"/>
              </c:ext>
            </c:extLst>
          </c:dPt>
          <c:dPt>
            <c:idx val="1"/>
            <c:bubble3D val="0"/>
            <c:extLst>
              <c:ext xmlns:c16="http://schemas.microsoft.com/office/drawing/2014/chart" uri="{C3380CC4-5D6E-409C-BE32-E72D297353CC}">
                <c16:uniqueId val="{00000001-8D55-4226-B4DB-0D6B7C9FC7F7}"/>
              </c:ext>
            </c:extLst>
          </c:dPt>
          <c:dPt>
            <c:idx val="2"/>
            <c:bubble3D val="0"/>
            <c:extLst>
              <c:ext xmlns:c16="http://schemas.microsoft.com/office/drawing/2014/chart" uri="{C3380CC4-5D6E-409C-BE32-E72D297353CC}">
                <c16:uniqueId val="{00000002-8D55-4226-B4DB-0D6B7C9FC7F7}"/>
              </c:ext>
            </c:extLst>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Sheet1!$A$1:$A$3</c:f>
              <c:strCache>
                <c:ptCount val="3"/>
                <c:pt idx="0">
                  <c:v>一般公共预算拨款收入</c:v>
                </c:pt>
                <c:pt idx="1">
                  <c:v>财政专户管理资金收入</c:v>
                </c:pt>
                <c:pt idx="2">
                  <c:v>上年结转结余</c:v>
                </c:pt>
              </c:strCache>
            </c:strRef>
          </c:cat>
          <c:val>
            <c:numRef>
              <c:f>Sheet1!$B$1:$B$3</c:f>
              <c:numCache>
                <c:formatCode>General</c:formatCode>
                <c:ptCount val="3"/>
                <c:pt idx="0">
                  <c:v>3479.03</c:v>
                </c:pt>
                <c:pt idx="1">
                  <c:v>1090.8399999999999</c:v>
                </c:pt>
                <c:pt idx="2">
                  <c:v>119.5</c:v>
                </c:pt>
              </c:numCache>
            </c:numRef>
          </c:val>
          <c:extLst>
            <c:ext xmlns:c16="http://schemas.microsoft.com/office/drawing/2014/chart" uri="{C3380CC4-5D6E-409C-BE32-E72D297353CC}">
              <c16:uniqueId val="{00000003-8D55-4226-B4DB-0D6B7C9FC7F7}"/>
            </c:ext>
          </c:extLst>
        </c:ser>
        <c:dLbls>
          <c:showLegendKey val="0"/>
          <c:showVal val="0"/>
          <c:showCatName val="0"/>
          <c:showSerName val="0"/>
          <c:showPercent val="1"/>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extLst>
              <c:ext xmlns:c16="http://schemas.microsoft.com/office/drawing/2014/chart" uri="{C3380CC4-5D6E-409C-BE32-E72D297353CC}">
                <c16:uniqueId val="{00000000-F95C-4797-BFB8-4261A014CD36}"/>
              </c:ext>
            </c:extLst>
          </c:dPt>
          <c:dPt>
            <c:idx val="1"/>
            <c:bubble3D val="0"/>
            <c:extLst>
              <c:ext xmlns:c16="http://schemas.microsoft.com/office/drawing/2014/chart" uri="{C3380CC4-5D6E-409C-BE32-E72D297353CC}">
                <c16:uniqueId val="{00000001-F95C-4797-BFB8-4261A014CD36}"/>
              </c:ext>
            </c:extLst>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Sheet1!$A$25:$A$26</c:f>
              <c:strCache>
                <c:ptCount val="2"/>
                <c:pt idx="0">
                  <c:v>基本支出</c:v>
                </c:pt>
                <c:pt idx="1">
                  <c:v>项目支出</c:v>
                </c:pt>
              </c:strCache>
            </c:strRef>
          </c:cat>
          <c:val>
            <c:numRef>
              <c:f>Sheet1!$B$25:$B$26</c:f>
              <c:numCache>
                <c:formatCode>General</c:formatCode>
                <c:ptCount val="2"/>
                <c:pt idx="0">
                  <c:v>1595.23</c:v>
                </c:pt>
                <c:pt idx="1">
                  <c:v>3094.14</c:v>
                </c:pt>
              </c:numCache>
            </c:numRef>
          </c:val>
          <c:extLst>
            <c:ext xmlns:c16="http://schemas.microsoft.com/office/drawing/2014/chart" uri="{C3380CC4-5D6E-409C-BE32-E72D297353CC}">
              <c16:uniqueId val="{00000002-F95C-4797-BFB8-4261A014CD36}"/>
            </c:ext>
          </c:extLst>
        </c:ser>
        <c:dLbls>
          <c:showLegendKey val="0"/>
          <c:showVal val="0"/>
          <c:showCatName val="0"/>
          <c:showSerName val="0"/>
          <c:showPercent val="1"/>
          <c:showBubbleSize val="0"/>
          <c:showLeaderLines val="1"/>
        </c:dLbls>
        <c:firstSliceAng val="0"/>
      </c:pieChart>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897898-2536-40E4-B652-26D4EB42F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372</Words>
  <Characters>2123</Characters>
  <Application>Microsoft Office Word</Application>
  <DocSecurity>0</DocSecurity>
  <Lines>17</Lines>
  <Paragraphs>4</Paragraphs>
  <ScaleCrop>false</ScaleCrop>
  <Company>Lenovo</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30</cp:revision>
  <dcterms:created xsi:type="dcterms:W3CDTF">2023-03-02T00:39:00Z</dcterms:created>
  <dcterms:modified xsi:type="dcterms:W3CDTF">2023-03-08T02:56:00Z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57CE04691053491D919EA0E5C095E9DB</vt:lpwstr>
  </property>
</Properties>
</file>