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847A9" w14:textId="77777777" w:rsidR="00202CE5"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北京教育融媒体中心2023年财政预算信息公开</w:t>
      </w:r>
    </w:p>
    <w:p w14:paraId="124200A1" w14:textId="77777777" w:rsidR="00202CE5" w:rsidRDefault="00202CE5">
      <w:pPr>
        <w:spacing w:line="240" w:lineRule="exact"/>
        <w:jc w:val="center"/>
        <w:rPr>
          <w:rFonts w:ascii="方正小标宋简体" w:eastAsia="方正小标宋简体"/>
          <w:color w:val="000000"/>
          <w:sz w:val="32"/>
          <w:szCs w:val="32"/>
        </w:rPr>
      </w:pPr>
    </w:p>
    <w:p w14:paraId="091ED8FD" w14:textId="77777777" w:rsidR="00202CE5"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7F7713BC" w14:textId="77777777" w:rsidR="00202CE5" w:rsidRDefault="00202CE5">
      <w:pPr>
        <w:spacing w:line="240" w:lineRule="exact"/>
        <w:jc w:val="center"/>
        <w:rPr>
          <w:rFonts w:ascii="方正小标宋简体" w:eastAsia="方正小标宋简体"/>
          <w:color w:val="000000"/>
          <w:sz w:val="32"/>
          <w:szCs w:val="32"/>
        </w:rPr>
      </w:pPr>
    </w:p>
    <w:p w14:paraId="163D0B7C" w14:textId="77777777" w:rsidR="00202CE5"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EEE5503" w14:textId="77777777" w:rsidR="00202CE5"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58401A12" w14:textId="77777777" w:rsidR="00202CE5"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2E351768" w14:textId="77777777" w:rsidR="00202CE5"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45CFB5B7" w14:textId="77777777" w:rsidR="00202CE5"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4C7B0B84" w14:textId="77777777" w:rsidR="00202CE5"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27759F38" w14:textId="77777777" w:rsidR="00202CE5"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66A0022" w14:textId="77777777" w:rsidR="00202CE5"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0B93FB8F"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4726634F"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6BC96AE" w14:textId="77777777" w:rsidR="00202CE5"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2BED67E8" w14:textId="77777777" w:rsidR="00202CE5"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DB7E8D3" w14:textId="77777777" w:rsidR="00202CE5"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236BD3AD"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7AA45256"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0CF799D1" w14:textId="77777777" w:rsidR="00202CE5"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11D4A20C"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255965E7"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1A70397" w14:textId="77777777" w:rsidR="00202CE5"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2F41AC4C" w14:textId="77777777" w:rsidR="00202CE5"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057B9D94" w14:textId="77777777" w:rsidR="00202CE5"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202CE5">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7258F28E" w14:textId="77777777" w:rsidR="00202CE5"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595E2FD7" w14:textId="77777777" w:rsidR="00202CE5" w:rsidRDefault="00202CE5">
      <w:pPr>
        <w:spacing w:line="360" w:lineRule="auto"/>
        <w:jc w:val="center"/>
        <w:rPr>
          <w:rFonts w:ascii="仿宋_GB2312" w:eastAsia="仿宋_GB2312"/>
          <w:color w:val="000000"/>
          <w:sz w:val="32"/>
          <w:szCs w:val="32"/>
        </w:rPr>
      </w:pPr>
    </w:p>
    <w:p w14:paraId="0D5E277F" w14:textId="77777777" w:rsidR="00202CE5"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701DE530" w14:textId="77777777" w:rsidR="00202CE5"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5EE492A"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1.单位性质</w:t>
      </w:r>
    </w:p>
    <w:p w14:paraId="6179AB4B" w14:textId="4F89C09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北京教育融媒体中心是公益二类事业单位。</w:t>
      </w:r>
    </w:p>
    <w:p w14:paraId="13AD50B0"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2.单位职责</w:t>
      </w:r>
    </w:p>
    <w:p w14:paraId="7AFD2DC0"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（1）承担本市教育融媒体平台建设、管理、运营等技术性、事务性工作，统筹教育融媒体宣传资源，推进教育融媒体品牌建设。</w:t>
      </w:r>
    </w:p>
    <w:p w14:paraId="5DD11955"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（2）承担本市教育网络舆情监测、研判、应对等事务性工作；承担有关新闻宣传、舆论引导、政策解读等事务性工作，建设教育公共服务信息化平台。</w:t>
      </w:r>
    </w:p>
    <w:p w14:paraId="39C5B203"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（3）承担有关教育报纸、杂志、音像制品的编辑出版发行工作。</w:t>
      </w:r>
    </w:p>
    <w:p w14:paraId="704AF8A6"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（4）完成市委教育工委、市教委交办的其他任务。</w:t>
      </w:r>
    </w:p>
    <w:p w14:paraId="0731F729" w14:textId="77777777" w:rsidR="00202CE5"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2E3A74E" w14:textId="56804863"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北京教育融媒体中心</w:t>
      </w:r>
      <w:r w:rsidR="00AD7DFC">
        <w:rPr>
          <w:rFonts w:ascii="仿宋_GB2312" w:eastAsia="仿宋_GB2312" w:hAnsi="仿宋_GB2312" w:cs="仿宋_GB2312" w:hint="eastAsia"/>
          <w:color w:val="000000"/>
          <w:kern w:val="0"/>
          <w:sz w:val="32"/>
          <w:szCs w:val="32"/>
          <w:lang w:val="zh-CN"/>
        </w:rPr>
        <w:t>内设</w:t>
      </w:r>
      <w:r>
        <w:rPr>
          <w:rFonts w:ascii="仿宋_GB2312" w:eastAsia="仿宋_GB2312" w:hAnsi="仿宋_GB2312" w:cs="仿宋_GB2312" w:hint="eastAsia"/>
          <w:color w:val="000000"/>
          <w:kern w:val="0"/>
          <w:sz w:val="32"/>
          <w:szCs w:val="32"/>
          <w:lang w:val="zh-CN"/>
        </w:rPr>
        <w:t>18个机构，分别为：党委办公室（纪检办公室）、行政办公室、总编室（新媒体中心）、教育服务事业部、新闻部、网络舆情部、政务融媒体部、《北京考试报》报社、《现代教育报》报社、《健康咨询报》报社、《中小学管理》编辑部、《教育科学研究》编辑部、《学前教育》编辑部、《北京教育》编辑部、《中小学信息技术教育》编辑部、财务部、人力资源部、工会。</w:t>
      </w:r>
    </w:p>
    <w:p w14:paraId="129612C9" w14:textId="77777777" w:rsidR="00202CE5"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bCs/>
          <w:color w:val="000000"/>
          <w:sz w:val="32"/>
          <w:szCs w:val="32"/>
          <w:lang w:val="zh-CN"/>
        </w:rPr>
        <w:lastRenderedPageBreak/>
        <w:t>北京教育融媒体中心包括1个预算单位，即北京教育融媒体中心（</w:t>
      </w:r>
      <w:r>
        <w:rPr>
          <w:rFonts w:ascii="仿宋_GB2312" w:eastAsia="仿宋_GB2312" w:hAnsi="仿宋_GB2312" w:cs="仿宋_GB2312" w:hint="eastAsia"/>
          <w:bCs/>
          <w:color w:val="000000"/>
          <w:sz w:val="32"/>
          <w:szCs w:val="32"/>
        </w:rPr>
        <w:t>本级</w:t>
      </w:r>
      <w:r>
        <w:rPr>
          <w:rFonts w:ascii="仿宋_GB2312" w:eastAsia="仿宋_GB2312" w:hAnsi="仿宋_GB2312" w:cs="仿宋_GB2312" w:hint="eastAsia"/>
          <w:bCs/>
          <w:color w:val="000000"/>
          <w:sz w:val="32"/>
          <w:szCs w:val="32"/>
          <w:lang w:val="zh-CN"/>
        </w:rPr>
        <w:t>）。</w:t>
      </w:r>
    </w:p>
    <w:p w14:paraId="225B6C62" w14:textId="77777777" w:rsidR="00202CE5"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12EAA06A" w14:textId="483C69F2" w:rsidR="00202CE5" w:rsidRDefault="00000000" w:rsidP="008A6EF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北京教育融媒体中心</w:t>
      </w:r>
      <w:r w:rsidR="008A6EFF" w:rsidRPr="008A6EFF">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事业编制154人，</w:t>
      </w:r>
      <w:r w:rsidR="008A6EFF">
        <w:rPr>
          <w:rFonts w:ascii="仿宋_GB2312" w:eastAsia="仿宋_GB2312" w:hint="eastAsia"/>
          <w:color w:val="000000"/>
          <w:sz w:val="32"/>
          <w:szCs w:val="32"/>
        </w:rPr>
        <w:t>实有人数</w:t>
      </w:r>
      <w:r>
        <w:rPr>
          <w:rFonts w:ascii="仿宋_GB2312" w:eastAsia="仿宋_GB2312" w:hint="eastAsia"/>
          <w:color w:val="000000"/>
          <w:sz w:val="32"/>
          <w:szCs w:val="32"/>
        </w:rPr>
        <w:t>12</w:t>
      </w:r>
      <w:r>
        <w:rPr>
          <w:rFonts w:ascii="仿宋_GB2312" w:eastAsia="仿宋_GB2312"/>
          <w:color w:val="000000"/>
          <w:sz w:val="32"/>
          <w:szCs w:val="32"/>
        </w:rPr>
        <w:t>0</w:t>
      </w:r>
      <w:r>
        <w:rPr>
          <w:rFonts w:ascii="仿宋_GB2312" w:eastAsia="仿宋_GB2312" w:hint="eastAsia"/>
          <w:color w:val="000000"/>
          <w:sz w:val="32"/>
          <w:szCs w:val="32"/>
        </w:rPr>
        <w:t>人</w:t>
      </w:r>
      <w:r w:rsidR="008A6EFF">
        <w:rPr>
          <w:rFonts w:ascii="仿宋_GB2312" w:eastAsia="仿宋_GB2312" w:hint="eastAsia"/>
          <w:color w:val="000000"/>
          <w:sz w:val="32"/>
          <w:szCs w:val="32"/>
        </w:rPr>
        <w:t>；</w:t>
      </w:r>
      <w:r>
        <w:rPr>
          <w:rFonts w:ascii="仿宋_GB2312" w:eastAsia="仿宋_GB2312" w:hint="eastAsia"/>
          <w:color w:val="000000"/>
          <w:sz w:val="32"/>
          <w:szCs w:val="32"/>
        </w:rPr>
        <w:t>离退休人员73人，其中：离休0人，退休73人</w:t>
      </w:r>
      <w:r w:rsidR="00E80F44">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4E18AD11" w14:textId="77777777" w:rsidR="00202CE5"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3B4459C" w14:textId="731ED03F"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13,817.51</w:t>
      </w:r>
      <w:r>
        <w:rPr>
          <w:rFonts w:ascii="仿宋_GB2312" w:eastAsia="仿宋_GB2312" w:hint="eastAsia"/>
          <w:sz w:val="32"/>
          <w:szCs w:val="32"/>
        </w:rPr>
        <w:t>万元，比2022年13,084.23万元增加</w:t>
      </w:r>
      <w:r>
        <w:rPr>
          <w:rFonts w:ascii="仿宋_GB2312" w:eastAsia="仿宋_GB2312"/>
          <w:sz w:val="32"/>
          <w:szCs w:val="32"/>
        </w:rPr>
        <w:t>733.28</w:t>
      </w:r>
      <w:r>
        <w:rPr>
          <w:rFonts w:ascii="仿宋_GB2312" w:eastAsia="仿宋_GB2312" w:hint="eastAsia"/>
          <w:sz w:val="32"/>
          <w:szCs w:val="32"/>
        </w:rPr>
        <w:t>万元，增长</w:t>
      </w:r>
      <w:r>
        <w:rPr>
          <w:rFonts w:ascii="仿宋_GB2312" w:eastAsia="仿宋_GB2312"/>
          <w:sz w:val="32"/>
          <w:szCs w:val="32"/>
        </w:rPr>
        <w:t>5.60</w:t>
      </w:r>
      <w:r>
        <w:rPr>
          <w:rFonts w:ascii="仿宋_GB2312" w:eastAsia="仿宋_GB2312" w:hint="eastAsia"/>
          <w:sz w:val="32"/>
          <w:szCs w:val="32"/>
        </w:rPr>
        <w:t>%。主要原因是根据事业单位发展规划调整预算</w:t>
      </w:r>
      <w:r w:rsidR="00342021">
        <w:rPr>
          <w:rFonts w:ascii="仿宋_GB2312" w:eastAsia="仿宋_GB2312" w:hint="eastAsia"/>
          <w:sz w:val="32"/>
          <w:szCs w:val="32"/>
        </w:rPr>
        <w:t>安排</w:t>
      </w:r>
      <w:r>
        <w:rPr>
          <w:rFonts w:ascii="仿宋_GB2312" w:eastAsia="仿宋_GB2312" w:hint="eastAsia"/>
          <w:sz w:val="32"/>
          <w:szCs w:val="32"/>
        </w:rPr>
        <w:t>。</w:t>
      </w:r>
    </w:p>
    <w:p w14:paraId="55DF42BE"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7,423.33</w:t>
      </w:r>
      <w:r>
        <w:rPr>
          <w:rFonts w:ascii="楷体_GB2312" w:eastAsia="楷体_GB2312" w:hint="eastAsia"/>
          <w:sz w:val="32"/>
          <w:szCs w:val="32"/>
        </w:rPr>
        <w:t>万元</w:t>
      </w:r>
    </w:p>
    <w:p w14:paraId="71106164"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7,423.33</w:t>
      </w:r>
      <w:r>
        <w:rPr>
          <w:rFonts w:ascii="仿宋_GB2312" w:eastAsia="仿宋_GB2312" w:hint="eastAsia"/>
          <w:sz w:val="32"/>
          <w:szCs w:val="32"/>
        </w:rPr>
        <w:t>万元。</w:t>
      </w:r>
    </w:p>
    <w:p w14:paraId="1C752886"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55A0656F"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05603B7A"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5,916.92</w:t>
      </w:r>
      <w:r>
        <w:rPr>
          <w:rFonts w:ascii="楷体_GB2312" w:eastAsia="楷体_GB2312" w:hint="eastAsia"/>
          <w:sz w:val="32"/>
          <w:szCs w:val="32"/>
        </w:rPr>
        <w:t>万元</w:t>
      </w:r>
    </w:p>
    <w:p w14:paraId="57D67D3A"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0</w:t>
      </w:r>
      <w:r>
        <w:rPr>
          <w:rFonts w:ascii="仿宋_GB2312" w:eastAsia="仿宋_GB2312" w:hint="eastAsia"/>
          <w:sz w:val="32"/>
          <w:szCs w:val="32"/>
        </w:rPr>
        <w:t>万元。</w:t>
      </w:r>
    </w:p>
    <w:p w14:paraId="5A8F05F7"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w:t>
      </w:r>
      <w:r>
        <w:rPr>
          <w:rFonts w:ascii="仿宋_GB2312" w:eastAsia="仿宋_GB2312" w:hint="eastAsia"/>
          <w:sz w:val="32"/>
          <w:szCs w:val="32"/>
        </w:rPr>
        <w:t>万元。</w:t>
      </w:r>
    </w:p>
    <w:p w14:paraId="3BE4C426"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5245C377"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59688804"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5,902.92</w:t>
      </w:r>
      <w:r>
        <w:rPr>
          <w:rFonts w:ascii="仿宋_GB2312" w:eastAsia="仿宋_GB2312" w:hint="eastAsia"/>
          <w:sz w:val="32"/>
          <w:szCs w:val="32"/>
        </w:rPr>
        <w:t>万元。</w:t>
      </w:r>
    </w:p>
    <w:p w14:paraId="1A36EEDA"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14</w:t>
      </w:r>
      <w:r>
        <w:rPr>
          <w:rFonts w:ascii="仿宋_GB2312" w:eastAsia="仿宋_GB2312" w:hint="eastAsia"/>
          <w:sz w:val="32"/>
          <w:szCs w:val="32"/>
        </w:rPr>
        <w:t>万元。</w:t>
      </w:r>
    </w:p>
    <w:p w14:paraId="4875DC2A"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477.26</w:t>
      </w:r>
      <w:r>
        <w:rPr>
          <w:rFonts w:ascii="楷体_GB2312" w:eastAsia="楷体_GB2312" w:hint="eastAsia"/>
          <w:sz w:val="32"/>
          <w:szCs w:val="32"/>
        </w:rPr>
        <w:t>万元</w:t>
      </w:r>
    </w:p>
    <w:p w14:paraId="6C8C0F39"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477.26</w:t>
      </w:r>
      <w:r>
        <w:rPr>
          <w:rFonts w:ascii="仿宋_GB2312" w:eastAsia="仿宋_GB2312" w:hint="eastAsia"/>
          <w:sz w:val="32"/>
          <w:szCs w:val="32"/>
        </w:rPr>
        <w:t>万元。</w:t>
      </w:r>
    </w:p>
    <w:p w14:paraId="40F0FAE3" w14:textId="77777777" w:rsidR="00A62935" w:rsidRDefault="00A62935">
      <w:pPr>
        <w:spacing w:line="560" w:lineRule="exact"/>
        <w:ind w:firstLine="640"/>
        <w:jc w:val="center"/>
        <w:rPr>
          <w:rFonts w:ascii="仿宋_GB2312" w:eastAsia="仿宋_GB2312"/>
          <w:b/>
          <w:sz w:val="32"/>
        </w:rPr>
      </w:pPr>
    </w:p>
    <w:p w14:paraId="5E185824" w14:textId="77777777" w:rsidR="00A62935" w:rsidRDefault="00A62935">
      <w:pPr>
        <w:spacing w:line="560" w:lineRule="exact"/>
        <w:ind w:firstLine="640"/>
        <w:jc w:val="center"/>
        <w:rPr>
          <w:rFonts w:ascii="仿宋_GB2312" w:eastAsia="仿宋_GB2312"/>
          <w:b/>
          <w:sz w:val="32"/>
        </w:rPr>
      </w:pPr>
    </w:p>
    <w:p w14:paraId="5430E0FC" w14:textId="77D5BF49" w:rsidR="00202CE5" w:rsidRDefault="00000000" w:rsidP="00A62935">
      <w:pPr>
        <w:spacing w:line="560" w:lineRule="exact"/>
        <w:jc w:val="center"/>
        <w:rPr>
          <w:rFonts w:ascii="仿宋_GB2312" w:eastAsia="仿宋_GB2312"/>
          <w:b/>
          <w:sz w:val="32"/>
        </w:rPr>
      </w:pPr>
      <w:r>
        <w:rPr>
          <w:rFonts w:ascii="仿宋_GB2312" w:eastAsia="仿宋_GB2312" w:hint="eastAsia"/>
          <w:b/>
          <w:sz w:val="32"/>
        </w:rPr>
        <w:t>图1：收入预算</w:t>
      </w:r>
    </w:p>
    <w:p w14:paraId="7234174F" w14:textId="77777777" w:rsidR="00202CE5" w:rsidRDefault="00000000">
      <w:pPr>
        <w:jc w:val="center"/>
      </w:pPr>
      <w:r>
        <w:rPr>
          <w:noProof/>
        </w:rPr>
        <w:drawing>
          <wp:inline distT="0" distB="0" distL="0" distR="0" wp14:anchorId="21375989" wp14:editId="63729749">
            <wp:extent cx="5295900" cy="3455670"/>
            <wp:effectExtent l="0" t="0" r="0" b="1143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36F23E4" w14:textId="77777777" w:rsidR="00202CE5"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AF26BF2" w14:textId="77777777" w:rsidR="00A3152B" w:rsidRDefault="00000000" w:rsidP="00A3152B">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13,817.51</w:t>
      </w:r>
      <w:r>
        <w:rPr>
          <w:rFonts w:ascii="仿宋_GB2312" w:eastAsia="仿宋_GB2312" w:hint="eastAsia"/>
          <w:sz w:val="32"/>
          <w:szCs w:val="32"/>
        </w:rPr>
        <w:t>万元，比2022年年初预算数</w:t>
      </w:r>
      <w:r>
        <w:rPr>
          <w:rFonts w:ascii="仿宋_GB2312" w:eastAsia="仿宋_GB2312"/>
          <w:sz w:val="32"/>
          <w:szCs w:val="32"/>
        </w:rPr>
        <w:t>13,084.23</w:t>
      </w:r>
      <w:r>
        <w:rPr>
          <w:rFonts w:ascii="仿宋_GB2312" w:eastAsia="仿宋_GB2312" w:hint="eastAsia"/>
          <w:sz w:val="32"/>
          <w:szCs w:val="32"/>
        </w:rPr>
        <w:t>万元增加7</w:t>
      </w:r>
      <w:r>
        <w:rPr>
          <w:rFonts w:ascii="仿宋_GB2312" w:eastAsia="仿宋_GB2312"/>
          <w:sz w:val="32"/>
          <w:szCs w:val="32"/>
        </w:rPr>
        <w:t>33.28</w:t>
      </w:r>
      <w:r>
        <w:rPr>
          <w:rFonts w:ascii="仿宋_GB2312" w:eastAsia="仿宋_GB2312" w:hint="eastAsia"/>
          <w:sz w:val="32"/>
          <w:szCs w:val="32"/>
        </w:rPr>
        <w:t>万元，增长5.60%。</w:t>
      </w:r>
      <w:r w:rsidR="00A3152B">
        <w:rPr>
          <w:rFonts w:ascii="仿宋_GB2312" w:eastAsia="仿宋_GB2312" w:hint="eastAsia"/>
          <w:sz w:val="32"/>
          <w:szCs w:val="32"/>
        </w:rPr>
        <w:t>主要原因是根据事业单位发展规划调整预算安排。</w:t>
      </w:r>
    </w:p>
    <w:p w14:paraId="20E3ECB1" w14:textId="1123EA79" w:rsidR="00202CE5" w:rsidRDefault="00000000" w:rsidP="00A3152B">
      <w:pPr>
        <w:spacing w:line="560" w:lineRule="exact"/>
        <w:ind w:firstLineChars="200" w:firstLine="640"/>
        <w:rPr>
          <w:rFonts w:ascii="仿宋_GB2312" w:eastAsia="仿宋_GB2312"/>
          <w:b/>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6,593.23</w:t>
      </w:r>
      <w:r>
        <w:rPr>
          <w:rFonts w:ascii="仿宋_GB2312" w:eastAsia="仿宋_GB2312" w:hint="eastAsia"/>
          <w:sz w:val="32"/>
          <w:szCs w:val="32"/>
        </w:rPr>
        <w:t>万元，占总支出预算</w:t>
      </w:r>
      <w:r>
        <w:rPr>
          <w:rFonts w:ascii="仿宋_GB2312" w:eastAsia="仿宋_GB2312"/>
          <w:sz w:val="32"/>
          <w:szCs w:val="32"/>
        </w:rPr>
        <w:t>47.72</w:t>
      </w:r>
      <w:r>
        <w:rPr>
          <w:rFonts w:ascii="仿宋_GB2312" w:eastAsia="仿宋_GB2312" w:hint="eastAsia"/>
          <w:sz w:val="32"/>
          <w:szCs w:val="32"/>
        </w:rPr>
        <w:t>%，比2022年年初预算数</w:t>
      </w:r>
      <w:r>
        <w:rPr>
          <w:rFonts w:ascii="仿宋_GB2312" w:eastAsia="仿宋_GB2312"/>
          <w:sz w:val="32"/>
          <w:szCs w:val="32"/>
        </w:rPr>
        <w:t>6,701.09</w:t>
      </w:r>
      <w:r>
        <w:rPr>
          <w:rFonts w:ascii="仿宋_GB2312" w:eastAsia="仿宋_GB2312" w:hint="eastAsia"/>
          <w:sz w:val="32"/>
          <w:szCs w:val="32"/>
        </w:rPr>
        <w:t>万元减少1</w:t>
      </w:r>
      <w:r>
        <w:rPr>
          <w:rFonts w:ascii="仿宋_GB2312" w:eastAsia="仿宋_GB2312"/>
          <w:sz w:val="32"/>
          <w:szCs w:val="32"/>
        </w:rPr>
        <w:t>07.86</w:t>
      </w:r>
      <w:r>
        <w:rPr>
          <w:rFonts w:ascii="仿宋_GB2312" w:eastAsia="仿宋_GB2312" w:hint="eastAsia"/>
          <w:sz w:val="32"/>
          <w:szCs w:val="32"/>
        </w:rPr>
        <w:t>万元，下降1</w:t>
      </w:r>
      <w:r>
        <w:rPr>
          <w:rFonts w:ascii="仿宋_GB2312" w:eastAsia="仿宋_GB2312"/>
          <w:sz w:val="32"/>
          <w:szCs w:val="32"/>
        </w:rPr>
        <w:t>.61</w:t>
      </w:r>
      <w:r>
        <w:rPr>
          <w:rFonts w:ascii="仿宋_GB2312" w:eastAsia="仿宋_GB2312" w:hint="eastAsia"/>
          <w:sz w:val="32"/>
          <w:szCs w:val="32"/>
        </w:rPr>
        <w:t>%。</w:t>
      </w:r>
    </w:p>
    <w:p w14:paraId="62FC1731" w14:textId="77777777" w:rsidR="00202CE5"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7,224.28</w:t>
      </w:r>
      <w:r>
        <w:rPr>
          <w:rFonts w:ascii="仿宋_GB2312" w:eastAsia="仿宋_GB2312" w:hint="eastAsia"/>
          <w:sz w:val="32"/>
          <w:szCs w:val="32"/>
        </w:rPr>
        <w:t>万元，比2022年年初预算数</w:t>
      </w:r>
      <w:r>
        <w:rPr>
          <w:rFonts w:ascii="仿宋_GB2312" w:eastAsia="仿宋_GB2312"/>
          <w:sz w:val="32"/>
          <w:szCs w:val="32"/>
        </w:rPr>
        <w:t>6,383.14</w:t>
      </w:r>
      <w:r>
        <w:rPr>
          <w:rFonts w:ascii="仿宋_GB2312" w:eastAsia="仿宋_GB2312" w:hint="eastAsia"/>
          <w:sz w:val="32"/>
          <w:szCs w:val="32"/>
        </w:rPr>
        <w:t>万元增加8</w:t>
      </w:r>
      <w:r>
        <w:rPr>
          <w:rFonts w:ascii="仿宋_GB2312" w:eastAsia="仿宋_GB2312"/>
          <w:sz w:val="32"/>
          <w:szCs w:val="32"/>
        </w:rPr>
        <w:t>41.14</w:t>
      </w:r>
      <w:r>
        <w:rPr>
          <w:rFonts w:ascii="仿宋_GB2312" w:eastAsia="仿宋_GB2312" w:hint="eastAsia"/>
          <w:sz w:val="32"/>
          <w:szCs w:val="32"/>
        </w:rPr>
        <w:t>万元，增长1</w:t>
      </w:r>
      <w:r>
        <w:rPr>
          <w:rFonts w:ascii="仿宋_GB2312" w:eastAsia="仿宋_GB2312"/>
          <w:sz w:val="32"/>
          <w:szCs w:val="32"/>
        </w:rPr>
        <w:t>3.18</w:t>
      </w:r>
      <w:r>
        <w:rPr>
          <w:rFonts w:ascii="仿宋_GB2312" w:eastAsia="仿宋_GB2312" w:hint="eastAsia"/>
          <w:sz w:val="32"/>
          <w:szCs w:val="32"/>
        </w:rPr>
        <w:t>%。其中：</w:t>
      </w:r>
    </w:p>
    <w:p w14:paraId="7C12AB48" w14:textId="77777777" w:rsidR="00202CE5"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3,505.02</w:t>
      </w:r>
      <w:r>
        <w:rPr>
          <w:rFonts w:ascii="仿宋_GB2312" w:eastAsia="仿宋_GB2312" w:hint="eastAsia"/>
          <w:sz w:val="32"/>
          <w:szCs w:val="32"/>
        </w:rPr>
        <w:t>万元。</w:t>
      </w:r>
    </w:p>
    <w:p w14:paraId="7341EC5A" w14:textId="77777777" w:rsidR="00202CE5"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43153AFF" w14:textId="77777777" w:rsidR="00202CE5" w:rsidRDefault="00000000">
      <w:pPr>
        <w:spacing w:line="560" w:lineRule="exact"/>
        <w:ind w:firstLine="640"/>
        <w:rPr>
          <w:rFonts w:ascii="仿宋_GB2312" w:eastAsia="仿宋_GB2312"/>
          <w:sz w:val="32"/>
          <w:szCs w:val="32"/>
        </w:rPr>
      </w:pPr>
      <w:r>
        <w:rPr>
          <w:rFonts w:ascii="仿宋_GB2312" w:eastAsia="仿宋_GB2312" w:hint="eastAsia"/>
          <w:sz w:val="32"/>
          <w:szCs w:val="32"/>
        </w:rPr>
        <w:lastRenderedPageBreak/>
        <w:t>3.对附属单位补助支出</w:t>
      </w:r>
      <w:r>
        <w:rPr>
          <w:rFonts w:ascii="仿宋_GB2312" w:eastAsia="仿宋_GB2312"/>
          <w:sz w:val="32"/>
          <w:szCs w:val="32"/>
        </w:rPr>
        <w:t>0</w:t>
      </w:r>
      <w:r>
        <w:rPr>
          <w:rFonts w:ascii="仿宋_GB2312" w:eastAsia="仿宋_GB2312" w:hint="eastAsia"/>
          <w:sz w:val="32"/>
          <w:szCs w:val="32"/>
        </w:rPr>
        <w:t>万元。</w:t>
      </w:r>
    </w:p>
    <w:p w14:paraId="20851DAF" w14:textId="77777777" w:rsidR="00202CE5" w:rsidRDefault="00000000">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2DD07C45" w14:textId="77777777" w:rsidR="00202CE5" w:rsidRDefault="00000000">
      <w:pPr>
        <w:pStyle w:val="2"/>
        <w:jc w:val="center"/>
      </w:pPr>
      <w:r>
        <w:rPr>
          <w:noProof/>
        </w:rPr>
        <w:drawing>
          <wp:inline distT="0" distB="0" distL="0" distR="0" wp14:anchorId="3E22C667" wp14:editId="5722330F">
            <wp:extent cx="5133975" cy="3086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35988" cy="3087284"/>
                    </a:xfrm>
                    <a:prstGeom prst="rect">
                      <a:avLst/>
                    </a:prstGeom>
                    <a:noFill/>
                  </pic:spPr>
                </pic:pic>
              </a:graphicData>
            </a:graphic>
          </wp:inline>
        </w:drawing>
      </w:r>
    </w:p>
    <w:p w14:paraId="323C37A9" w14:textId="77777777" w:rsidR="00202CE5"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4B302B01"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11EEB2B0"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北京教育融媒体中心因公出国（境）费用、公务接待费、公务用车购置和运行维护费开支部门包括1个所属单位。无其他所属单位安排的2023年财政拨款 “三公”经费预算。</w:t>
      </w:r>
    </w:p>
    <w:p w14:paraId="0D49BDF1" w14:textId="77777777" w:rsidR="00202CE5"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61087C46"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2023年"三公经费"财政拨款预算41.42万元，比2022年"三公经费"财政拨款预算18.27万元，增加23.15万元。其中：</w:t>
      </w:r>
    </w:p>
    <w:p w14:paraId="1D946C56"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1.因公出国（境）费用。2023年预算数0万元，与2022年持平。</w:t>
      </w:r>
    </w:p>
    <w:p w14:paraId="620CF017"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2.公务接待费。2023年预算数5.26万元，比2022年预</w:t>
      </w:r>
      <w:r>
        <w:rPr>
          <w:rFonts w:ascii="仿宋_GB2312" w:eastAsia="仿宋_GB2312" w:hint="eastAsia"/>
          <w:sz w:val="32"/>
          <w:szCs w:val="32"/>
        </w:rPr>
        <w:lastRenderedPageBreak/>
        <w:t>算数6.89万元减少1.63万元，主要原因：落实政府“过紧日子”要求，进一步压减公务接待费支出。</w:t>
      </w:r>
    </w:p>
    <w:p w14:paraId="25637BD2" w14:textId="34FCE3FB"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3.公务用车购置和运行维护费。2023年预算数36.16万元，其中，公务用车购置费2023年预算数17.98万元，比2022年预算数0万元增加17.98万元，主要原因是</w:t>
      </w:r>
      <w:r w:rsidR="00FB47C1">
        <w:rPr>
          <w:rFonts w:ascii="仿宋_GB2312" w:eastAsia="仿宋_GB2312" w:hint="eastAsia"/>
          <w:sz w:val="32"/>
          <w:szCs w:val="32"/>
        </w:rPr>
        <w:t>根据</w:t>
      </w:r>
      <w:r w:rsidR="00635903">
        <w:rPr>
          <w:rFonts w:ascii="仿宋_GB2312" w:eastAsia="仿宋_GB2312" w:hint="eastAsia"/>
          <w:sz w:val="32"/>
          <w:szCs w:val="32"/>
        </w:rPr>
        <w:t>实际需要，更新公务用车购置</w:t>
      </w:r>
      <w:r>
        <w:rPr>
          <w:rFonts w:ascii="仿宋_GB2312" w:eastAsia="仿宋_GB2312" w:hint="eastAsia"/>
          <w:sz w:val="32"/>
          <w:szCs w:val="32"/>
        </w:rPr>
        <w:t>。公务用车运行维护费2023年预算数18.18万元，其中：公务用车燃油8.78万元，公务用车维修3.40万元，公务用车保险3.40万元，其他支出2.60万元。公务用车运行维护费2023年预算数比2022年预算数11.38万元增加6.80万元，主要原因：</w:t>
      </w:r>
      <w:r w:rsidR="00195FD6">
        <w:rPr>
          <w:rFonts w:ascii="仿宋_GB2312" w:eastAsia="仿宋_GB2312" w:hint="eastAsia"/>
          <w:sz w:val="32"/>
          <w:szCs w:val="32"/>
        </w:rPr>
        <w:t>根据实际需要，</w:t>
      </w:r>
      <w:r>
        <w:rPr>
          <w:rFonts w:ascii="仿宋_GB2312" w:eastAsia="仿宋_GB2312" w:hint="eastAsia"/>
          <w:sz w:val="32"/>
          <w:szCs w:val="32"/>
        </w:rPr>
        <w:t>运行维护费有所增加。</w:t>
      </w:r>
    </w:p>
    <w:p w14:paraId="7491FC7B" w14:textId="77777777" w:rsidR="00202CE5"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1F8FE8AE"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6EDE278F"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2023年北京教育融媒体中心政府采购预算总额</w:t>
      </w:r>
      <w:r>
        <w:rPr>
          <w:rFonts w:ascii="仿宋_GB2312" w:eastAsia="仿宋_GB2312"/>
          <w:sz w:val="32"/>
          <w:szCs w:val="32"/>
        </w:rPr>
        <w:t>2,032.37</w:t>
      </w:r>
      <w:r>
        <w:rPr>
          <w:rFonts w:ascii="仿宋_GB2312" w:eastAsia="仿宋_GB2312" w:hint="eastAsia"/>
          <w:sz w:val="32"/>
          <w:szCs w:val="32"/>
        </w:rPr>
        <w:t>万元，其中：政府采购货物预算</w:t>
      </w:r>
      <w:r>
        <w:rPr>
          <w:rFonts w:ascii="仿宋_GB2312" w:eastAsia="仿宋_GB2312"/>
          <w:sz w:val="32"/>
          <w:szCs w:val="32"/>
        </w:rPr>
        <w:t>22.98</w:t>
      </w:r>
      <w:r>
        <w:rPr>
          <w:rFonts w:ascii="仿宋_GB2312" w:eastAsia="仿宋_GB2312" w:hint="eastAsia"/>
          <w:sz w:val="32"/>
          <w:szCs w:val="32"/>
        </w:rPr>
        <w:t>万元，政府采购工程预算</w:t>
      </w:r>
      <w:r>
        <w:rPr>
          <w:rFonts w:ascii="仿宋_GB2312" w:eastAsia="仿宋_GB2312"/>
          <w:sz w:val="32"/>
          <w:szCs w:val="32"/>
        </w:rPr>
        <w:t>361.25</w:t>
      </w:r>
      <w:r>
        <w:rPr>
          <w:rFonts w:ascii="仿宋_GB2312" w:eastAsia="仿宋_GB2312" w:hint="eastAsia"/>
          <w:sz w:val="32"/>
          <w:szCs w:val="32"/>
        </w:rPr>
        <w:t>万元，政府采购服务预算</w:t>
      </w:r>
      <w:r>
        <w:rPr>
          <w:rFonts w:ascii="仿宋_GB2312" w:eastAsia="仿宋_GB2312"/>
          <w:sz w:val="32"/>
          <w:szCs w:val="32"/>
        </w:rPr>
        <w:t>1,648.14</w:t>
      </w:r>
      <w:r>
        <w:rPr>
          <w:rFonts w:ascii="仿宋_GB2312" w:eastAsia="仿宋_GB2312" w:hint="eastAsia"/>
          <w:sz w:val="32"/>
          <w:szCs w:val="32"/>
        </w:rPr>
        <w:t>万元。</w:t>
      </w:r>
    </w:p>
    <w:p w14:paraId="5BA09CAC"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3BA758E9"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2023年北京教育融媒体中心政府购买服务预算总额0.00万元。</w:t>
      </w:r>
    </w:p>
    <w:p w14:paraId="1E0AC81A"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1EAB3EAD"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本单位不在机关运行经费统计范围之内。</w:t>
      </w:r>
    </w:p>
    <w:p w14:paraId="2A90334A"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790C5973" w14:textId="77777777" w:rsidR="00202CE5"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2023年，北京教育融媒体中心填报绩效目标的预算项目</w:t>
      </w:r>
      <w:r>
        <w:rPr>
          <w:rFonts w:ascii="仿宋_GB2312" w:eastAsia="仿宋_GB2312"/>
          <w:sz w:val="32"/>
          <w:szCs w:val="32"/>
        </w:rPr>
        <w:lastRenderedPageBreak/>
        <w:t>14</w:t>
      </w:r>
      <w:r>
        <w:rPr>
          <w:rFonts w:ascii="仿宋_GB2312" w:eastAsia="仿宋_GB2312" w:hint="eastAsia"/>
          <w:sz w:val="32"/>
          <w:szCs w:val="32"/>
        </w:rPr>
        <w:t>个，占本单位本年预算项目</w:t>
      </w:r>
      <w:r>
        <w:rPr>
          <w:rFonts w:ascii="仿宋_GB2312" w:eastAsia="仿宋_GB2312"/>
          <w:sz w:val="32"/>
          <w:szCs w:val="32"/>
        </w:rPr>
        <w:t>14</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7,224.28</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r>
        <w:rPr>
          <w:rFonts w:ascii="楷体_GB2312" w:eastAsia="楷体_GB2312" w:cs="楷体_GB2312" w:hint="eastAsia"/>
          <w:sz w:val="32"/>
          <w:szCs w:val="32"/>
        </w:rPr>
        <w:t>。</w:t>
      </w:r>
    </w:p>
    <w:p w14:paraId="69D07A20"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7DEA0672" w14:textId="77777777" w:rsidR="00202CE5" w:rsidRDefault="00000000">
      <w:pPr>
        <w:spacing w:line="560" w:lineRule="exact"/>
        <w:ind w:firstLineChars="200" w:firstLine="640"/>
        <w:rPr>
          <w:rFonts w:ascii="楷体_GB2312" w:eastAsia="楷体_GB2312"/>
          <w:sz w:val="32"/>
          <w:szCs w:val="32"/>
        </w:rPr>
      </w:pPr>
      <w:r>
        <w:rPr>
          <w:rFonts w:ascii="仿宋_GB2312" w:eastAsia="仿宋_GB2312" w:hint="eastAsia"/>
          <w:sz w:val="32"/>
          <w:szCs w:val="32"/>
        </w:rPr>
        <w:t>本单位2023年无重点行政事业性收费。</w:t>
      </w:r>
    </w:p>
    <w:p w14:paraId="1606480A" w14:textId="77777777" w:rsidR="00202CE5"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0A066E98"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33CD7138" w14:textId="77777777" w:rsidR="00202CE5"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B7D4D6E"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截至2022年底，北京教育融媒体中心共有车辆</w:t>
      </w:r>
      <w:r>
        <w:rPr>
          <w:rFonts w:ascii="仿宋_GB2312" w:eastAsia="仿宋_GB2312"/>
          <w:color w:val="000000"/>
          <w:sz w:val="32"/>
          <w:szCs w:val="32"/>
        </w:rPr>
        <w:t>8</w:t>
      </w:r>
      <w:r>
        <w:rPr>
          <w:rFonts w:ascii="仿宋_GB2312" w:eastAsia="仿宋_GB2312" w:hint="eastAsia"/>
          <w:color w:val="000000"/>
          <w:sz w:val="32"/>
          <w:szCs w:val="32"/>
        </w:rPr>
        <w:t>台，共计</w:t>
      </w:r>
      <w:r>
        <w:rPr>
          <w:rFonts w:ascii="仿宋_GB2312" w:eastAsia="仿宋_GB2312"/>
          <w:color w:val="000000"/>
          <w:sz w:val="32"/>
          <w:szCs w:val="32"/>
        </w:rPr>
        <w:t>204.91</w:t>
      </w:r>
      <w:r>
        <w:rPr>
          <w:rFonts w:ascii="仿宋_GB2312" w:eastAsia="仿宋_GB2312" w:hint="eastAsia"/>
          <w:color w:val="000000"/>
          <w:sz w:val="32"/>
          <w:szCs w:val="32"/>
        </w:rPr>
        <w:t>万元；单位价值50万元以上的通用设备1台（套），共计68.81万元，单位价值100万元以上的专用设备0台（套）、共计0万元。</w:t>
      </w:r>
    </w:p>
    <w:p w14:paraId="411057DE" w14:textId="77777777" w:rsidR="00202CE5"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2B07B07F"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10AD199"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7717D623"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2C65E72" w14:textId="77777777" w:rsidR="00DD3935" w:rsidRDefault="00DD3935">
      <w:pPr>
        <w:spacing w:line="560" w:lineRule="exact"/>
        <w:jc w:val="center"/>
        <w:rPr>
          <w:rFonts w:ascii="方正小标宋简体" w:eastAsia="方正小标宋简体"/>
          <w:color w:val="000000"/>
          <w:sz w:val="36"/>
          <w:szCs w:val="36"/>
        </w:rPr>
        <w:sectPr w:rsidR="00DD3935">
          <w:pgSz w:w="11906" w:h="16838"/>
          <w:pgMar w:top="1440" w:right="1800" w:bottom="1440" w:left="1800" w:header="851" w:footer="992" w:gutter="0"/>
          <w:cols w:space="425"/>
          <w:docGrid w:type="lines" w:linePitch="312"/>
        </w:sectPr>
      </w:pPr>
    </w:p>
    <w:p w14:paraId="00442C2E" w14:textId="77777777" w:rsidR="00202CE5"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25F94DC" w14:textId="77777777" w:rsidR="00202CE5" w:rsidRDefault="00202CE5">
      <w:pPr>
        <w:autoSpaceDE w:val="0"/>
        <w:autoSpaceDN w:val="0"/>
        <w:adjustRightInd w:val="0"/>
        <w:spacing w:line="560" w:lineRule="exact"/>
        <w:jc w:val="left"/>
        <w:rPr>
          <w:rFonts w:ascii="方正小标宋简体" w:eastAsia="方正小标宋简体"/>
          <w:color w:val="000000"/>
          <w:sz w:val="36"/>
          <w:szCs w:val="36"/>
        </w:rPr>
      </w:pPr>
    </w:p>
    <w:p w14:paraId="37DEA5F3" w14:textId="77777777" w:rsidR="00202CE5"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附件：北京教育融媒体中心2023年度单位预算报表</w:t>
      </w:r>
      <w:r>
        <w:rPr>
          <w:rFonts w:ascii="仿宋_GB2312" w:eastAsia="仿宋_GB2312" w:cs="宋体" w:hint="eastAsia"/>
          <w:color w:val="000000"/>
          <w:kern w:val="0"/>
          <w:sz w:val="32"/>
          <w:szCs w:val="32"/>
          <w:lang w:val="zh-CN"/>
        </w:rPr>
        <w:t xml:space="preserve"> </w:t>
      </w:r>
    </w:p>
    <w:p w14:paraId="73911DF6" w14:textId="77777777" w:rsidR="00202CE5" w:rsidRDefault="00202CE5"/>
    <w:sectPr w:rsidR="00202C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5656C" w14:textId="77777777" w:rsidR="002035A6" w:rsidRDefault="002035A6">
      <w:r>
        <w:separator/>
      </w:r>
    </w:p>
  </w:endnote>
  <w:endnote w:type="continuationSeparator" w:id="0">
    <w:p w14:paraId="23C51D6D" w14:textId="77777777" w:rsidR="002035A6" w:rsidRDefault="0020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3C548" w14:textId="77777777" w:rsidR="00202CE5"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36FCADA" wp14:editId="42C5B9A1">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66F2450" w14:textId="77777777" w:rsidR="00202CE5"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36FCADA"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66F2450" w14:textId="77777777" w:rsidR="00202CE5"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p>
                </w:txbxContent>
              </v:textbox>
              <w10:wrap anchorx="margin"/>
            </v:shape>
          </w:pict>
        </mc:Fallback>
      </mc:AlternateContent>
    </w:r>
  </w:p>
  <w:p w14:paraId="7E1422B6" w14:textId="77777777" w:rsidR="00202CE5" w:rsidRDefault="00202CE5">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EFF7" w14:textId="77777777" w:rsidR="002035A6" w:rsidRDefault="002035A6">
      <w:r>
        <w:separator/>
      </w:r>
    </w:p>
  </w:footnote>
  <w:footnote w:type="continuationSeparator" w:id="0">
    <w:p w14:paraId="3E4FB573" w14:textId="77777777" w:rsidR="002035A6" w:rsidRDefault="00203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E2Mjg2YTZkZTMyMTYwY2M1OTQ5YzJlN2MyYmRjOGEifQ=="/>
  </w:docVars>
  <w:rsids>
    <w:rsidRoot w:val="00D263AC"/>
    <w:rsid w:val="00195FD6"/>
    <w:rsid w:val="001974EB"/>
    <w:rsid w:val="001A17DC"/>
    <w:rsid w:val="001A5799"/>
    <w:rsid w:val="001B0F78"/>
    <w:rsid w:val="001B7A32"/>
    <w:rsid w:val="001D3D7E"/>
    <w:rsid w:val="00202CE5"/>
    <w:rsid w:val="002035A6"/>
    <w:rsid w:val="00301374"/>
    <w:rsid w:val="00321227"/>
    <w:rsid w:val="00342021"/>
    <w:rsid w:val="0035069B"/>
    <w:rsid w:val="0039578A"/>
    <w:rsid w:val="0049148B"/>
    <w:rsid w:val="00491C37"/>
    <w:rsid w:val="00555722"/>
    <w:rsid w:val="005A3B07"/>
    <w:rsid w:val="005D2425"/>
    <w:rsid w:val="00635903"/>
    <w:rsid w:val="00753D37"/>
    <w:rsid w:val="007C3DA9"/>
    <w:rsid w:val="00836FFA"/>
    <w:rsid w:val="008A6EFF"/>
    <w:rsid w:val="008E414F"/>
    <w:rsid w:val="00951FC3"/>
    <w:rsid w:val="00A16BB7"/>
    <w:rsid w:val="00A3152B"/>
    <w:rsid w:val="00A52B3A"/>
    <w:rsid w:val="00A62935"/>
    <w:rsid w:val="00AD7DFC"/>
    <w:rsid w:val="00BD1A9E"/>
    <w:rsid w:val="00C012A2"/>
    <w:rsid w:val="00C0471C"/>
    <w:rsid w:val="00C50CBA"/>
    <w:rsid w:val="00C66C32"/>
    <w:rsid w:val="00D126F2"/>
    <w:rsid w:val="00D263AC"/>
    <w:rsid w:val="00D53701"/>
    <w:rsid w:val="00DD3935"/>
    <w:rsid w:val="00E04E07"/>
    <w:rsid w:val="00E458DB"/>
    <w:rsid w:val="00E80F44"/>
    <w:rsid w:val="00FB47C1"/>
    <w:rsid w:val="00FD7E20"/>
    <w:rsid w:val="6B306DB0"/>
    <w:rsid w:val="6D717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815B9"/>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character" w:customStyle="1" w:styleId="20">
    <w:name w:val="标题 2 字符"/>
    <w:basedOn w:val="a0"/>
    <w:link w:val="2"/>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ocuments\WeChat%20Files\wxid_osbk61pjj7n512\FileStorage\File\2023-03\&#34701;&#23186;&#2030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38CB-4604-B145-1A4D0DCADBA1}"/>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38CB-4604-B145-1A4D0DCADBA1}"/>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38CB-4604-B145-1A4D0DCADBA1}"/>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38CB-4604-B145-1A4D0DCADBA1}"/>
              </c:ext>
            </c:extLst>
          </c:dPt>
          <c:dLbls>
            <c:dLbl>
              <c:idx val="0"/>
              <c:tx>
                <c:rich>
                  <a:bodyPr/>
                  <a:lstStyle/>
                  <a:p>
                    <a:r>
                      <a:rPr lang="en-US" altLang="zh-CN"/>
                      <a:t>53.72%</a:t>
                    </a:r>
                  </a:p>
                </c:rich>
              </c:tx>
              <c:dLblPos val="inEnd"/>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8CB-4604-B145-1A4D0DCADBA1}"/>
                </c:ext>
              </c:extLst>
            </c:dLbl>
            <c:dLbl>
              <c:idx val="1"/>
              <c:tx>
                <c:rich>
                  <a:bodyPr/>
                  <a:lstStyle/>
                  <a:p>
                    <a:r>
                      <a:rPr lang="en-US" altLang="zh-CN"/>
                      <a:t>42.72%</a:t>
                    </a:r>
                  </a:p>
                </c:rich>
              </c:tx>
              <c:dLblPos val="inEnd"/>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8CB-4604-B145-1A4D0DCADBA1}"/>
                </c:ext>
              </c:extLst>
            </c:dLbl>
            <c:dLbl>
              <c:idx val="2"/>
              <c:layout>
                <c:manualLayout>
                  <c:x val="-2.5837707786526701E-3"/>
                  <c:y val="3.777121609798769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bg1"/>
                      </a:solidFill>
                      <a:latin typeface="+mn-lt"/>
                      <a:ea typeface="+mn-ea"/>
                      <a:cs typeface="+mn-cs"/>
                    </a:defRPr>
                  </a:pPr>
                  <a:endParaRPr lang="zh-CN"/>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8CB-4604-B145-1A4D0DCADBA1}"/>
                </c:ext>
              </c:extLst>
            </c:dLbl>
            <c:dLbl>
              <c:idx val="3"/>
              <c:layout>
                <c:manualLayout>
                  <c:x val="3.4525590551180999E-2"/>
                  <c:y val="0.17432232429279701"/>
                </c:manualLayout>
              </c:layout>
              <c:tx>
                <c:rich>
                  <a:bodyPr/>
                  <a:lstStyle/>
                  <a:p>
                    <a:r>
                      <a:rPr lang="en-US" altLang="zh-CN"/>
                      <a:t>3.45%</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38CB-4604-B145-1A4D0DCADBA1}"/>
                </c:ext>
              </c:extLst>
            </c:dLbl>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bg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Sheet1!$B$5:$B$8</c:f>
              <c:strCache>
                <c:ptCount val="4"/>
                <c:pt idx="0">
                  <c:v>一般公共预算拨款收入</c:v>
                </c:pt>
                <c:pt idx="1">
                  <c:v>事业单位经营收入</c:v>
                </c:pt>
                <c:pt idx="2">
                  <c:v>其他收入</c:v>
                </c:pt>
                <c:pt idx="3">
                  <c:v>上年结转结余</c:v>
                </c:pt>
              </c:strCache>
            </c:strRef>
          </c:cat>
          <c:val>
            <c:numRef>
              <c:f>Sheet1!$C$5:$C$8</c:f>
              <c:numCache>
                <c:formatCode>General</c:formatCode>
                <c:ptCount val="4"/>
                <c:pt idx="0">
                  <c:v>7423.33</c:v>
                </c:pt>
                <c:pt idx="1">
                  <c:v>5902.92</c:v>
                </c:pt>
                <c:pt idx="2">
                  <c:v>14</c:v>
                </c:pt>
                <c:pt idx="3">
                  <c:v>477.26</c:v>
                </c:pt>
              </c:numCache>
            </c:numRef>
          </c:val>
          <c:extLst>
            <c:ext xmlns:c16="http://schemas.microsoft.com/office/drawing/2014/chart" uri="{C3380CC4-5D6E-409C-BE32-E72D297353CC}">
              <c16:uniqueId val="{00000008-38CB-4604-B145-1A4D0DCADBA1}"/>
            </c:ext>
          </c:extLst>
        </c:ser>
        <c:ser>
          <c:idx val="1"/>
          <c:order val="1"/>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A-38CB-4604-B145-1A4D0DCADBA1}"/>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C-38CB-4604-B145-1A4D0DCADBA1}"/>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E-38CB-4604-B145-1A4D0DCADBA1}"/>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0-38CB-4604-B145-1A4D0DCADBA1}"/>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Sheet1!$B$5:$B$8</c:f>
              <c:strCache>
                <c:ptCount val="4"/>
                <c:pt idx="0">
                  <c:v>一般公共预算拨款收入</c:v>
                </c:pt>
                <c:pt idx="1">
                  <c:v>事业单位经营收入</c:v>
                </c:pt>
                <c:pt idx="2">
                  <c:v>其他收入</c:v>
                </c:pt>
                <c:pt idx="3">
                  <c:v>上年结转结余</c:v>
                </c:pt>
              </c:strCache>
            </c:strRef>
          </c:cat>
          <c:val>
            <c:numRef>
              <c:f>Sheet1!$D$5:$D$8</c:f>
              <c:numCache>
                <c:formatCode>0.00%</c:formatCode>
                <c:ptCount val="4"/>
                <c:pt idx="0">
                  <c:v>0.53724079085160803</c:v>
                </c:pt>
                <c:pt idx="1">
                  <c:v>0.42720577007000499</c:v>
                </c:pt>
                <c:pt idx="2">
                  <c:v>1.01320715526893E-3</c:v>
                </c:pt>
                <c:pt idx="3">
                  <c:v>3.4540231923117802E-2</c:v>
                </c:pt>
              </c:numCache>
            </c:numRef>
          </c:val>
          <c:extLst>
            <c:ext xmlns:c16="http://schemas.microsoft.com/office/drawing/2014/chart" uri="{C3380CC4-5D6E-409C-BE32-E72D297353CC}">
              <c16:uniqueId val="{00000011-38CB-4604-B145-1A4D0DCADBA1}"/>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78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8</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26</cp:revision>
  <dcterms:created xsi:type="dcterms:W3CDTF">2023-02-15T02:41:00Z</dcterms:created>
  <dcterms:modified xsi:type="dcterms:W3CDTF">2023-03-08T02:48:00Z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79A0398ABCF24D20B4CAD75DE6A75953</vt:lpwstr>
  </property>
</Properties>
</file>