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C80C" w14:textId="77777777" w:rsidR="00367D96" w:rsidRDefault="00BB19A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北京第四实验学校2023年财政预算信息公开</w:t>
      </w:r>
    </w:p>
    <w:p w14:paraId="73603BEA" w14:textId="77777777" w:rsidR="00367D96" w:rsidRDefault="00367D96">
      <w:pPr>
        <w:spacing w:line="240" w:lineRule="exact"/>
        <w:jc w:val="center"/>
        <w:rPr>
          <w:rFonts w:ascii="方正小标宋简体" w:eastAsia="方正小标宋简体"/>
          <w:color w:val="000000"/>
          <w:sz w:val="32"/>
          <w:szCs w:val="32"/>
        </w:rPr>
      </w:pPr>
    </w:p>
    <w:p w14:paraId="4DE76BC1" w14:textId="77777777" w:rsidR="00367D96" w:rsidRDefault="00BB19A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21DACBF" w14:textId="77777777" w:rsidR="00367D96" w:rsidRDefault="00367D96">
      <w:pPr>
        <w:spacing w:line="240" w:lineRule="exact"/>
        <w:jc w:val="center"/>
        <w:rPr>
          <w:rFonts w:ascii="方正小标宋简体" w:eastAsia="方正小标宋简体"/>
          <w:color w:val="000000"/>
          <w:sz w:val="32"/>
          <w:szCs w:val="32"/>
        </w:rPr>
      </w:pPr>
    </w:p>
    <w:p w14:paraId="0778E8DE" w14:textId="77777777" w:rsidR="00367D96" w:rsidRDefault="00BB19A8">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448A3915" w14:textId="77777777" w:rsidR="00367D96" w:rsidRDefault="00BB19A8">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05BCA975" w14:textId="77777777" w:rsidR="00367D96" w:rsidRDefault="00BB19A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31BDA447" w14:textId="77777777" w:rsidR="00367D96" w:rsidRDefault="00BB19A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5354092A" w14:textId="77777777" w:rsidR="00367D96" w:rsidRDefault="00BB19A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59F07423" w14:textId="77777777" w:rsidR="00367D96" w:rsidRDefault="00BB19A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78A4416C" w14:textId="77777777" w:rsidR="00367D96" w:rsidRDefault="00BB19A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506EBCDA" w14:textId="77777777" w:rsidR="00367D96" w:rsidRDefault="00BB19A8">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434FD156"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81E976C"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78A3F980" w14:textId="77777777" w:rsidR="00367D96" w:rsidRDefault="00BB19A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45A79996" w14:textId="77777777" w:rsidR="00367D96" w:rsidRDefault="00BB19A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9BBF385" w14:textId="77777777" w:rsidR="00367D96" w:rsidRDefault="00BB19A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4A7A21F6"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4A75C2BE"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22BCCDD7" w14:textId="77777777" w:rsidR="00367D96" w:rsidRDefault="00BB19A8">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0316A47"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42C6EFF9"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64F0F68D" w14:textId="77777777" w:rsidR="00367D96" w:rsidRDefault="00BB19A8">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0B2F69ED" w14:textId="77777777" w:rsidR="00367D96" w:rsidRDefault="00BB19A8">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34FF4F63" w14:textId="77777777" w:rsidR="00367D96" w:rsidRDefault="00BB19A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67D96">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w:t>
      </w:r>
    </w:p>
    <w:p w14:paraId="41955BD6" w14:textId="77777777" w:rsidR="00367D96" w:rsidRDefault="00367D96">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p>
    <w:p w14:paraId="19F0F68A" w14:textId="77777777" w:rsidR="00367D96" w:rsidRDefault="00BB19A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4C2EBEC9" w14:textId="77777777" w:rsidR="00367D96" w:rsidRDefault="00367D96">
      <w:pPr>
        <w:spacing w:line="360" w:lineRule="auto"/>
        <w:rPr>
          <w:rFonts w:ascii="仿宋_GB2312" w:eastAsia="仿宋_GB2312"/>
          <w:color w:val="000000"/>
          <w:sz w:val="32"/>
          <w:szCs w:val="32"/>
        </w:rPr>
      </w:pPr>
    </w:p>
    <w:p w14:paraId="3859F6C4" w14:textId="77777777" w:rsidR="00367D96" w:rsidRDefault="00BB19A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6E5C9D8F" w14:textId="77777777" w:rsidR="00367D96" w:rsidRDefault="00BB19A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215676A" w14:textId="73DB7CB4"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北京第四实验学校是公益一类事业单位</w:t>
      </w:r>
      <w:r w:rsidR="0094529E">
        <w:rPr>
          <w:rFonts w:ascii="仿宋_GB2312" w:eastAsia="仿宋_GB2312" w:hint="eastAsia"/>
          <w:color w:val="000000"/>
          <w:sz w:val="32"/>
          <w:szCs w:val="32"/>
        </w:rPr>
        <w:t>。</w:t>
      </w:r>
      <w:r>
        <w:rPr>
          <w:rFonts w:ascii="仿宋_GB2312" w:eastAsia="仿宋_GB2312" w:hint="eastAsia"/>
          <w:color w:val="000000"/>
          <w:sz w:val="32"/>
          <w:szCs w:val="32"/>
        </w:rPr>
        <w:t>负责实施高中基础教育、初中义务教育及小学义务教育。学校与北京大兴临空经济区相配套，提升当地基础教育水平。</w:t>
      </w:r>
    </w:p>
    <w:p w14:paraId="3A2D4013" w14:textId="77777777" w:rsidR="00367D96" w:rsidRDefault="00BB19A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74FFE866" w14:textId="24B4F570" w:rsidR="00367D96" w:rsidRDefault="004F1985">
      <w:pPr>
        <w:spacing w:line="560" w:lineRule="exact"/>
        <w:ind w:firstLineChars="200" w:firstLine="640"/>
        <w:rPr>
          <w:rFonts w:ascii="仿宋_GB2312" w:eastAsia="仿宋_GB2312"/>
          <w:color w:val="000000"/>
          <w:sz w:val="32"/>
          <w:szCs w:val="32"/>
        </w:rPr>
      </w:pPr>
      <w:r w:rsidRPr="004F1985">
        <w:rPr>
          <w:rFonts w:ascii="仿宋_GB2312" w:eastAsia="仿宋_GB2312" w:hint="eastAsia"/>
          <w:color w:val="000000"/>
          <w:sz w:val="32"/>
          <w:szCs w:val="32"/>
        </w:rPr>
        <w:t>本校为新设单位，还未开学</w:t>
      </w:r>
      <w:r>
        <w:rPr>
          <w:rFonts w:ascii="仿宋_GB2312" w:eastAsia="仿宋_GB2312" w:hint="eastAsia"/>
          <w:color w:val="000000"/>
          <w:sz w:val="32"/>
          <w:szCs w:val="32"/>
        </w:rPr>
        <w:t>，</w:t>
      </w:r>
      <w:r w:rsidR="00BB19A8">
        <w:rPr>
          <w:rFonts w:ascii="仿宋_GB2312" w:eastAsia="仿宋_GB2312" w:hint="eastAsia"/>
          <w:color w:val="000000"/>
          <w:sz w:val="32"/>
          <w:szCs w:val="32"/>
        </w:rPr>
        <w:t>暂无内设机构及下属单位。</w:t>
      </w:r>
    </w:p>
    <w:p w14:paraId="1883868C" w14:textId="77777777" w:rsidR="00367D96" w:rsidRDefault="00BB19A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08CD5525" w14:textId="3D9F1974"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北京第四实验学校</w:t>
      </w:r>
      <w:r w:rsidR="0068064F" w:rsidRPr="0068064F">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w:t>
      </w:r>
      <w:r>
        <w:rPr>
          <w:rFonts w:ascii="仿宋_GB2312" w:eastAsia="仿宋_GB2312"/>
          <w:color w:val="000000"/>
          <w:sz w:val="32"/>
          <w:szCs w:val="32"/>
        </w:rPr>
        <w:t>307</w:t>
      </w:r>
      <w:r>
        <w:rPr>
          <w:rFonts w:ascii="仿宋_GB2312" w:eastAsia="仿宋_GB2312" w:hint="eastAsia"/>
          <w:color w:val="000000"/>
          <w:sz w:val="32"/>
          <w:szCs w:val="32"/>
        </w:rPr>
        <w:t>人，实有人数1</w:t>
      </w:r>
      <w:r>
        <w:rPr>
          <w:rFonts w:ascii="仿宋_GB2312" w:eastAsia="仿宋_GB2312"/>
          <w:color w:val="000000"/>
          <w:sz w:val="32"/>
          <w:szCs w:val="32"/>
        </w:rPr>
        <w:t>5</w:t>
      </w:r>
      <w:r>
        <w:rPr>
          <w:rFonts w:ascii="仿宋_GB2312" w:eastAsia="仿宋_GB2312" w:hint="eastAsia"/>
          <w:color w:val="000000"/>
          <w:sz w:val="32"/>
          <w:szCs w:val="32"/>
        </w:rPr>
        <w:t>人</w:t>
      </w:r>
      <w:r w:rsidR="0068064F">
        <w:rPr>
          <w:rFonts w:ascii="仿宋_GB2312" w:eastAsia="仿宋_GB2312" w:hint="eastAsia"/>
          <w:color w:val="000000"/>
          <w:sz w:val="32"/>
          <w:szCs w:val="32"/>
        </w:rPr>
        <w:t>；离休人员0人，退休人员0人；其他人员无</w:t>
      </w:r>
      <w:r>
        <w:rPr>
          <w:rFonts w:ascii="仿宋_GB2312" w:eastAsia="仿宋_GB2312" w:hint="eastAsia"/>
          <w:color w:val="000000"/>
          <w:sz w:val="32"/>
          <w:szCs w:val="32"/>
        </w:rPr>
        <w:t>。</w:t>
      </w:r>
    </w:p>
    <w:p w14:paraId="48482D54" w14:textId="77777777" w:rsidR="00367D96" w:rsidRDefault="00BB19A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13FFD4E6" w14:textId="2A0BA415" w:rsidR="00367D96" w:rsidRDefault="00BB19A8" w:rsidP="007C6A44">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4222.44</w:t>
      </w:r>
      <w:r>
        <w:rPr>
          <w:rFonts w:ascii="仿宋_GB2312" w:eastAsia="仿宋_GB2312" w:hint="eastAsia"/>
          <w:sz w:val="32"/>
          <w:szCs w:val="32"/>
        </w:rPr>
        <w:t>万元，比2022年年初预算数</w:t>
      </w:r>
      <w:r>
        <w:rPr>
          <w:rFonts w:ascii="仿宋_GB2312" w:eastAsia="仿宋_GB2312"/>
          <w:sz w:val="32"/>
          <w:szCs w:val="32"/>
        </w:rPr>
        <w:t>925.73</w:t>
      </w:r>
      <w:r>
        <w:rPr>
          <w:rFonts w:ascii="仿宋_GB2312" w:eastAsia="仿宋_GB2312" w:hint="eastAsia"/>
          <w:sz w:val="32"/>
          <w:szCs w:val="32"/>
        </w:rPr>
        <w:t>万元增加</w:t>
      </w:r>
      <w:r>
        <w:rPr>
          <w:rFonts w:ascii="仿宋_GB2312" w:eastAsia="仿宋_GB2312"/>
          <w:sz w:val="32"/>
          <w:szCs w:val="32"/>
        </w:rPr>
        <w:t>3296.71</w:t>
      </w:r>
      <w:r>
        <w:rPr>
          <w:rFonts w:ascii="仿宋_GB2312" w:eastAsia="仿宋_GB2312" w:hint="eastAsia"/>
          <w:sz w:val="32"/>
          <w:szCs w:val="32"/>
        </w:rPr>
        <w:t>万元，增长3</w:t>
      </w:r>
      <w:r>
        <w:rPr>
          <w:rFonts w:ascii="仿宋_GB2312" w:eastAsia="仿宋_GB2312"/>
          <w:sz w:val="32"/>
          <w:szCs w:val="32"/>
        </w:rPr>
        <w:t>56.12</w:t>
      </w:r>
      <w:r>
        <w:rPr>
          <w:rFonts w:ascii="仿宋_GB2312" w:eastAsia="仿宋_GB2312" w:hint="eastAsia"/>
          <w:sz w:val="32"/>
          <w:szCs w:val="32"/>
        </w:rPr>
        <w:t>%。主要原因</w:t>
      </w:r>
      <w:r w:rsidR="007C6A44">
        <w:rPr>
          <w:rFonts w:ascii="仿宋_GB2312" w:eastAsia="仿宋_GB2312" w:hint="eastAsia"/>
          <w:sz w:val="32"/>
          <w:szCs w:val="32"/>
        </w:rPr>
        <w:t>：一是上年结转结余资金有所增加；二是我校为新建校，新增人员经费及公用经费预算</w:t>
      </w:r>
      <w:r>
        <w:rPr>
          <w:rFonts w:ascii="仿宋_GB2312" w:eastAsia="仿宋_GB2312" w:hint="eastAsia"/>
          <w:sz w:val="32"/>
          <w:szCs w:val="32"/>
        </w:rPr>
        <w:t>。</w:t>
      </w:r>
    </w:p>
    <w:p w14:paraId="589725D0" w14:textId="2D602E70" w:rsidR="00367D96" w:rsidRPr="00816B19" w:rsidRDefault="00816B19" w:rsidP="00816B19">
      <w:pPr>
        <w:spacing w:line="560" w:lineRule="exact"/>
        <w:ind w:left="640"/>
        <w:rPr>
          <w:rFonts w:ascii="楷体_GB2312" w:eastAsia="楷体_GB2312"/>
          <w:sz w:val="32"/>
          <w:szCs w:val="32"/>
        </w:rPr>
      </w:pPr>
      <w:r>
        <w:rPr>
          <w:rFonts w:ascii="楷体_GB2312" w:eastAsia="楷体_GB2312" w:hint="eastAsia"/>
          <w:sz w:val="32"/>
          <w:szCs w:val="32"/>
        </w:rPr>
        <w:t>（一）</w:t>
      </w:r>
      <w:r w:rsidR="00BB19A8" w:rsidRPr="00816B19">
        <w:rPr>
          <w:rFonts w:ascii="楷体_GB2312" w:eastAsia="楷体_GB2312" w:hint="eastAsia"/>
          <w:sz w:val="32"/>
          <w:szCs w:val="32"/>
        </w:rPr>
        <w:t>本年财政拨款收入</w:t>
      </w:r>
      <w:r w:rsidR="00BB19A8" w:rsidRPr="00816B19">
        <w:rPr>
          <w:rFonts w:ascii="楷体_GB2312" w:eastAsia="楷体_GB2312"/>
          <w:sz w:val="32"/>
          <w:szCs w:val="32"/>
        </w:rPr>
        <w:t>1171.61</w:t>
      </w:r>
      <w:r w:rsidR="00BB19A8" w:rsidRPr="00816B19">
        <w:rPr>
          <w:rFonts w:ascii="楷体_GB2312" w:eastAsia="楷体_GB2312" w:hint="eastAsia"/>
          <w:sz w:val="32"/>
          <w:szCs w:val="32"/>
        </w:rPr>
        <w:t>万元</w:t>
      </w:r>
    </w:p>
    <w:p w14:paraId="3992877C"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1171.61</w:t>
      </w:r>
      <w:r>
        <w:rPr>
          <w:rFonts w:ascii="仿宋_GB2312" w:eastAsia="仿宋_GB2312" w:hint="eastAsia"/>
          <w:sz w:val="32"/>
          <w:szCs w:val="32"/>
        </w:rPr>
        <w:t>万</w:t>
      </w:r>
      <w:r>
        <w:rPr>
          <w:rFonts w:ascii="仿宋_GB2312" w:eastAsia="仿宋_GB2312" w:hint="eastAsia"/>
          <w:i/>
          <w:sz w:val="32"/>
          <w:szCs w:val="32"/>
        </w:rPr>
        <w:t>元</w:t>
      </w:r>
      <w:r>
        <w:rPr>
          <w:rFonts w:ascii="仿宋_GB2312" w:eastAsia="仿宋_GB2312" w:hint="eastAsia"/>
          <w:sz w:val="32"/>
          <w:szCs w:val="32"/>
        </w:rPr>
        <w:t>。</w:t>
      </w:r>
    </w:p>
    <w:p w14:paraId="4564819A"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3BCCDDD1"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3D6671D8"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0</w:t>
      </w:r>
      <w:r>
        <w:rPr>
          <w:rFonts w:ascii="楷体_GB2312" w:eastAsia="楷体_GB2312" w:hint="eastAsia"/>
          <w:sz w:val="32"/>
          <w:szCs w:val="32"/>
        </w:rPr>
        <w:t>万元</w:t>
      </w:r>
    </w:p>
    <w:p w14:paraId="1E2A39EC"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4.财政专户管理资金收入</w:t>
      </w:r>
      <w:r>
        <w:rPr>
          <w:rFonts w:ascii="仿宋_GB2312" w:eastAsia="仿宋_GB2312"/>
          <w:sz w:val="32"/>
          <w:szCs w:val="32"/>
        </w:rPr>
        <w:t>0</w:t>
      </w:r>
      <w:r>
        <w:rPr>
          <w:rFonts w:ascii="仿宋_GB2312" w:eastAsia="仿宋_GB2312" w:hint="eastAsia"/>
          <w:sz w:val="32"/>
          <w:szCs w:val="32"/>
        </w:rPr>
        <w:t>万元。</w:t>
      </w:r>
    </w:p>
    <w:p w14:paraId="54FCCD07"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w:t>
      </w:r>
      <w:r>
        <w:rPr>
          <w:rFonts w:ascii="仿宋_GB2312" w:eastAsia="仿宋_GB2312" w:hint="eastAsia"/>
          <w:sz w:val="32"/>
          <w:szCs w:val="32"/>
        </w:rPr>
        <w:t>万元。</w:t>
      </w:r>
    </w:p>
    <w:p w14:paraId="01526B86"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51F3AF52"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0C99CD1C"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w:t>
      </w:r>
      <w:r>
        <w:rPr>
          <w:rFonts w:ascii="仿宋_GB2312" w:eastAsia="仿宋_GB2312" w:hint="eastAsia"/>
          <w:sz w:val="32"/>
          <w:szCs w:val="32"/>
        </w:rPr>
        <w:t>万元。</w:t>
      </w:r>
    </w:p>
    <w:p w14:paraId="035E74D5"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0</w:t>
      </w:r>
      <w:r>
        <w:rPr>
          <w:rFonts w:ascii="仿宋_GB2312" w:eastAsia="仿宋_GB2312" w:hint="eastAsia"/>
          <w:sz w:val="32"/>
          <w:szCs w:val="32"/>
        </w:rPr>
        <w:t>万元。</w:t>
      </w:r>
    </w:p>
    <w:p w14:paraId="59B4B1B2"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3050.83</w:t>
      </w:r>
      <w:r>
        <w:rPr>
          <w:rFonts w:ascii="楷体_GB2312" w:eastAsia="楷体_GB2312" w:hint="eastAsia"/>
          <w:sz w:val="32"/>
          <w:szCs w:val="32"/>
        </w:rPr>
        <w:t>万元</w:t>
      </w:r>
    </w:p>
    <w:p w14:paraId="0411DADA"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3050.83</w:t>
      </w:r>
      <w:r>
        <w:rPr>
          <w:rFonts w:ascii="仿宋_GB2312" w:eastAsia="仿宋_GB2312" w:hint="eastAsia"/>
          <w:sz w:val="32"/>
          <w:szCs w:val="32"/>
        </w:rPr>
        <w:t>万元。</w:t>
      </w:r>
    </w:p>
    <w:p w14:paraId="3C0580DD" w14:textId="77777777" w:rsidR="00367D96" w:rsidRDefault="00BB19A8">
      <w:pPr>
        <w:pStyle w:val="2"/>
        <w:jc w:val="center"/>
        <w:rPr>
          <w:rFonts w:ascii="仿宋_GB2312" w:eastAsia="仿宋_GB2312"/>
          <w:b w:val="0"/>
          <w:bCs w:val="0"/>
          <w:sz w:val="32"/>
        </w:rPr>
      </w:pPr>
      <w:r>
        <w:rPr>
          <w:rFonts w:ascii="仿宋_GB2312" w:eastAsia="仿宋_GB2312" w:hint="eastAsia"/>
          <w:sz w:val="32"/>
        </w:rPr>
        <w:t>图1：收入预算</w:t>
      </w:r>
    </w:p>
    <w:p w14:paraId="3A2D6372" w14:textId="77777777" w:rsidR="00367D96" w:rsidRDefault="00BB19A8">
      <w:pPr>
        <w:pStyle w:val="2"/>
        <w:jc w:val="center"/>
      </w:pPr>
      <w:r>
        <w:rPr>
          <w:noProof/>
        </w:rPr>
        <w:drawing>
          <wp:inline distT="0" distB="0" distL="0" distR="0" wp14:anchorId="16416A35" wp14:editId="669440E1">
            <wp:extent cx="457200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A4CD8FD" w14:textId="77777777" w:rsidR="00367D96" w:rsidRDefault="00BB19A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三、支出预算情况说明</w:t>
      </w:r>
    </w:p>
    <w:p w14:paraId="5AB2D9B3" w14:textId="77777777" w:rsidR="007C6A44" w:rsidRDefault="00BB19A8" w:rsidP="007C6A44">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4222.44</w:t>
      </w:r>
      <w:r>
        <w:rPr>
          <w:rFonts w:ascii="仿宋_GB2312" w:eastAsia="仿宋_GB2312" w:hint="eastAsia"/>
          <w:sz w:val="32"/>
          <w:szCs w:val="32"/>
        </w:rPr>
        <w:t>万元，比2022年年初预算数</w:t>
      </w:r>
      <w:r>
        <w:rPr>
          <w:rFonts w:ascii="仿宋_GB2312" w:eastAsia="仿宋_GB2312"/>
          <w:sz w:val="32"/>
          <w:szCs w:val="32"/>
        </w:rPr>
        <w:t>925.73</w:t>
      </w:r>
      <w:r>
        <w:rPr>
          <w:rFonts w:ascii="仿宋_GB2312" w:eastAsia="仿宋_GB2312" w:hint="eastAsia"/>
          <w:sz w:val="32"/>
          <w:szCs w:val="32"/>
        </w:rPr>
        <w:t>万元增加</w:t>
      </w:r>
      <w:r>
        <w:rPr>
          <w:rFonts w:ascii="仿宋_GB2312" w:eastAsia="仿宋_GB2312"/>
          <w:sz w:val="32"/>
          <w:szCs w:val="32"/>
        </w:rPr>
        <w:t>3296.71</w:t>
      </w:r>
      <w:r>
        <w:rPr>
          <w:rFonts w:ascii="仿宋_GB2312" w:eastAsia="仿宋_GB2312" w:hint="eastAsia"/>
          <w:sz w:val="32"/>
          <w:szCs w:val="32"/>
        </w:rPr>
        <w:t>万元，增长3</w:t>
      </w:r>
      <w:r>
        <w:rPr>
          <w:rFonts w:ascii="仿宋_GB2312" w:eastAsia="仿宋_GB2312"/>
          <w:sz w:val="32"/>
          <w:szCs w:val="32"/>
        </w:rPr>
        <w:t>56.12</w:t>
      </w:r>
      <w:r>
        <w:rPr>
          <w:rFonts w:ascii="仿宋_GB2312" w:eastAsia="仿宋_GB2312" w:hint="eastAsia"/>
          <w:sz w:val="32"/>
          <w:szCs w:val="32"/>
        </w:rPr>
        <w:t>%。</w:t>
      </w:r>
      <w:r w:rsidR="007C6A44">
        <w:rPr>
          <w:rFonts w:ascii="仿宋_GB2312" w:eastAsia="仿宋_GB2312" w:hint="eastAsia"/>
          <w:sz w:val="32"/>
          <w:szCs w:val="32"/>
        </w:rPr>
        <w:t>主要原因：一是上年结转结余资金有所增加；二是我校为新建校，新增人员经费及公用经费预算。</w:t>
      </w:r>
    </w:p>
    <w:p w14:paraId="73031C55" w14:textId="78086EC5" w:rsidR="00367D96" w:rsidRDefault="00BB19A8">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980.50</w:t>
      </w:r>
      <w:r>
        <w:rPr>
          <w:rFonts w:ascii="仿宋_GB2312" w:eastAsia="仿宋_GB2312" w:hint="eastAsia"/>
          <w:sz w:val="32"/>
          <w:szCs w:val="32"/>
        </w:rPr>
        <w:t>万元，占总支出</w:t>
      </w:r>
      <w:r>
        <w:rPr>
          <w:rFonts w:ascii="仿宋_GB2312" w:eastAsia="仿宋_GB2312" w:hint="eastAsia"/>
          <w:sz w:val="32"/>
          <w:szCs w:val="32"/>
        </w:rPr>
        <w:lastRenderedPageBreak/>
        <w:t>预算</w:t>
      </w:r>
      <w:r>
        <w:rPr>
          <w:rFonts w:ascii="仿宋_GB2312" w:eastAsia="仿宋_GB2312"/>
          <w:sz w:val="32"/>
          <w:szCs w:val="32"/>
        </w:rPr>
        <w:t>23.22</w:t>
      </w:r>
      <w:r>
        <w:rPr>
          <w:rFonts w:ascii="仿宋_GB2312" w:eastAsia="仿宋_GB2312" w:hint="eastAsia"/>
          <w:sz w:val="32"/>
          <w:szCs w:val="32"/>
        </w:rPr>
        <w:t>%，比2022年年初预算数</w:t>
      </w:r>
      <w:r>
        <w:rPr>
          <w:rFonts w:ascii="仿宋_GB2312" w:eastAsia="仿宋_GB2312"/>
          <w:sz w:val="32"/>
          <w:szCs w:val="32"/>
        </w:rPr>
        <w:t>0</w:t>
      </w:r>
      <w:r>
        <w:rPr>
          <w:rFonts w:ascii="仿宋_GB2312" w:eastAsia="仿宋_GB2312" w:hint="eastAsia"/>
          <w:sz w:val="32"/>
          <w:szCs w:val="32"/>
        </w:rPr>
        <w:t>万元增加9</w:t>
      </w:r>
      <w:r>
        <w:rPr>
          <w:rFonts w:ascii="仿宋_GB2312" w:eastAsia="仿宋_GB2312"/>
          <w:sz w:val="32"/>
          <w:szCs w:val="32"/>
        </w:rPr>
        <w:t>80.50万元</w:t>
      </w:r>
      <w:r>
        <w:rPr>
          <w:rFonts w:ascii="仿宋_GB2312" w:eastAsia="仿宋_GB2312" w:hint="eastAsia"/>
          <w:sz w:val="32"/>
          <w:szCs w:val="32"/>
        </w:rPr>
        <w:t>。</w:t>
      </w:r>
    </w:p>
    <w:p w14:paraId="5962EEED" w14:textId="77777777" w:rsidR="00367D96" w:rsidRDefault="00BB19A8">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3241.94</w:t>
      </w:r>
      <w:r>
        <w:rPr>
          <w:rFonts w:ascii="仿宋_GB2312" w:eastAsia="仿宋_GB2312" w:hint="eastAsia"/>
          <w:sz w:val="32"/>
          <w:szCs w:val="32"/>
        </w:rPr>
        <w:t>万元，比2022年年初预算数</w:t>
      </w:r>
      <w:r>
        <w:rPr>
          <w:rFonts w:ascii="仿宋_GB2312" w:eastAsia="仿宋_GB2312"/>
          <w:sz w:val="32"/>
          <w:szCs w:val="32"/>
        </w:rPr>
        <w:t>925.73</w:t>
      </w:r>
      <w:r>
        <w:rPr>
          <w:rFonts w:ascii="仿宋_GB2312" w:eastAsia="仿宋_GB2312" w:hint="eastAsia"/>
          <w:sz w:val="32"/>
          <w:szCs w:val="32"/>
        </w:rPr>
        <w:t>万元增加2</w:t>
      </w:r>
      <w:r>
        <w:rPr>
          <w:rFonts w:ascii="仿宋_GB2312" w:eastAsia="仿宋_GB2312"/>
          <w:sz w:val="32"/>
          <w:szCs w:val="32"/>
        </w:rPr>
        <w:t>316.21</w:t>
      </w:r>
      <w:r>
        <w:rPr>
          <w:rFonts w:ascii="仿宋_GB2312" w:eastAsia="仿宋_GB2312" w:hint="eastAsia"/>
          <w:sz w:val="32"/>
          <w:szCs w:val="32"/>
        </w:rPr>
        <w:t>万元，增长250.20%。其中：</w:t>
      </w:r>
    </w:p>
    <w:p w14:paraId="4374D24A" w14:textId="77777777" w:rsidR="00367D96" w:rsidRDefault="00BB19A8">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73B432B4" w14:textId="77777777" w:rsidR="00367D96" w:rsidRDefault="00BB19A8">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630A0AB7" w14:textId="77777777" w:rsidR="00367D96" w:rsidRDefault="00BB19A8">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w:t>
      </w:r>
      <w:r>
        <w:rPr>
          <w:rFonts w:ascii="仿宋_GB2312" w:eastAsia="仿宋_GB2312" w:hint="eastAsia"/>
          <w:sz w:val="32"/>
          <w:szCs w:val="32"/>
        </w:rPr>
        <w:t>万元。</w:t>
      </w:r>
    </w:p>
    <w:p w14:paraId="1349FAE8" w14:textId="77777777" w:rsidR="00367D96" w:rsidRDefault="00BB19A8">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182B4364" w14:textId="77777777" w:rsidR="00367D96" w:rsidRDefault="00BB19A8">
      <w:pPr>
        <w:jc w:val="center"/>
      </w:pPr>
      <w:r>
        <w:rPr>
          <w:noProof/>
        </w:rPr>
        <w:drawing>
          <wp:inline distT="0" distB="0" distL="0" distR="0" wp14:anchorId="6089D878" wp14:editId="2342608B">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EC51424" w14:textId="77777777" w:rsidR="00367D96" w:rsidRDefault="00367D96">
      <w:pPr>
        <w:spacing w:line="560" w:lineRule="exact"/>
        <w:rPr>
          <w:rFonts w:ascii="黑体" w:eastAsia="黑体"/>
          <w:sz w:val="32"/>
          <w:szCs w:val="32"/>
        </w:rPr>
      </w:pPr>
    </w:p>
    <w:p w14:paraId="5C3111CA" w14:textId="77777777" w:rsidR="00367D96" w:rsidRDefault="00BB19A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四、财政拨款“三公”经费预算情况说明</w:t>
      </w:r>
    </w:p>
    <w:p w14:paraId="61845E81" w14:textId="5350AC78"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本单位2023年无财政拨款安排的</w:t>
      </w:r>
      <w:r w:rsidR="00915F22">
        <w:rPr>
          <w:rFonts w:ascii="仿宋_GB2312" w:eastAsia="仿宋_GB2312" w:hint="eastAsia"/>
          <w:sz w:val="32"/>
          <w:szCs w:val="32"/>
        </w:rPr>
        <w:t>“三公”</w:t>
      </w:r>
      <w:r>
        <w:rPr>
          <w:rFonts w:ascii="仿宋_GB2312" w:eastAsia="仿宋_GB2312" w:hint="eastAsia"/>
          <w:sz w:val="32"/>
          <w:szCs w:val="32"/>
        </w:rPr>
        <w:t>经费预算，与2022年持平。</w:t>
      </w:r>
    </w:p>
    <w:p w14:paraId="2E2A58D3" w14:textId="77777777" w:rsidR="00367D96" w:rsidRDefault="00BB19A8">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299E67F4"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D06B230"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2023年北京第四实验学校政府采购预算总额1</w:t>
      </w:r>
      <w:r>
        <w:rPr>
          <w:rFonts w:ascii="仿宋_GB2312" w:eastAsia="仿宋_GB2312"/>
          <w:sz w:val="32"/>
          <w:szCs w:val="32"/>
        </w:rPr>
        <w:t>65.38</w:t>
      </w:r>
      <w:r>
        <w:rPr>
          <w:rFonts w:ascii="仿宋_GB2312" w:eastAsia="仿宋_GB2312" w:hint="eastAsia"/>
          <w:sz w:val="32"/>
          <w:szCs w:val="32"/>
        </w:rPr>
        <w:t>万</w:t>
      </w:r>
      <w:r>
        <w:rPr>
          <w:rFonts w:ascii="仿宋_GB2312" w:eastAsia="仿宋_GB2312" w:hint="eastAsia"/>
          <w:sz w:val="32"/>
          <w:szCs w:val="32"/>
        </w:rPr>
        <w:lastRenderedPageBreak/>
        <w:t>元，其中：政府采购货物预算</w:t>
      </w:r>
      <w:r>
        <w:rPr>
          <w:rFonts w:ascii="仿宋_GB2312" w:eastAsia="仿宋_GB2312"/>
          <w:sz w:val="32"/>
          <w:szCs w:val="32"/>
        </w:rPr>
        <w:t>0</w:t>
      </w:r>
      <w:r>
        <w:rPr>
          <w:rFonts w:ascii="仿宋_GB2312" w:eastAsia="仿宋_GB2312" w:hint="eastAsia"/>
          <w:sz w:val="32"/>
          <w:szCs w:val="32"/>
        </w:rPr>
        <w:t>万元，政府采购工程预算</w:t>
      </w:r>
      <w:r>
        <w:rPr>
          <w:rFonts w:ascii="仿宋_GB2312" w:eastAsia="仿宋_GB2312"/>
          <w:sz w:val="32"/>
          <w:szCs w:val="32"/>
        </w:rPr>
        <w:t>0</w:t>
      </w:r>
      <w:r>
        <w:rPr>
          <w:rFonts w:ascii="仿宋_GB2312" w:eastAsia="仿宋_GB2312" w:hint="eastAsia"/>
          <w:sz w:val="32"/>
          <w:szCs w:val="32"/>
        </w:rPr>
        <w:t>万元，政府采购服务预算</w:t>
      </w:r>
      <w:r>
        <w:rPr>
          <w:rFonts w:ascii="仿宋_GB2312" w:eastAsia="仿宋_GB2312"/>
          <w:sz w:val="32"/>
          <w:szCs w:val="32"/>
        </w:rPr>
        <w:t>165.38</w:t>
      </w:r>
      <w:r>
        <w:rPr>
          <w:rFonts w:ascii="仿宋_GB2312" w:eastAsia="仿宋_GB2312" w:hint="eastAsia"/>
          <w:sz w:val="32"/>
          <w:szCs w:val="32"/>
        </w:rPr>
        <w:t>万元。</w:t>
      </w:r>
    </w:p>
    <w:p w14:paraId="44EEBE45"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160626F3"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本单位2023年无政府购买服务经费预算。</w:t>
      </w:r>
    </w:p>
    <w:p w14:paraId="0510EF81"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75C0D651"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01EAD2F2"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28AB4896" w14:textId="77777777" w:rsidR="00367D96" w:rsidRDefault="00BB19A8">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2023年，北京第四实验学校填报绩效目标的预算项目</w:t>
      </w:r>
      <w:r>
        <w:rPr>
          <w:rFonts w:ascii="仿宋_GB2312" w:eastAsia="仿宋_GB2312"/>
          <w:sz w:val="32"/>
          <w:szCs w:val="32"/>
        </w:rPr>
        <w:t>2</w:t>
      </w:r>
      <w:r>
        <w:rPr>
          <w:rFonts w:ascii="仿宋_GB2312" w:eastAsia="仿宋_GB2312" w:hint="eastAsia"/>
          <w:sz w:val="32"/>
          <w:szCs w:val="32"/>
        </w:rPr>
        <w:t>个，占本单位本年预算项目</w:t>
      </w:r>
      <w:r>
        <w:rPr>
          <w:rFonts w:ascii="仿宋_GB2312" w:eastAsia="仿宋_GB2312"/>
          <w:sz w:val="32"/>
          <w:szCs w:val="32"/>
        </w:rPr>
        <w:t>2</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191.11</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r>
        <w:rPr>
          <w:rFonts w:ascii="楷体_GB2312" w:eastAsia="楷体_GB2312" w:cs="楷体_GB2312" w:hint="eastAsia"/>
          <w:sz w:val="32"/>
          <w:szCs w:val="32"/>
        </w:rPr>
        <w:t>。</w:t>
      </w:r>
    </w:p>
    <w:p w14:paraId="4E0C5E96"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4B9584E5" w14:textId="77777777" w:rsidR="00367D96" w:rsidRDefault="00BB19A8">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本单位2023年无重点行政事业性收费。</w:t>
      </w:r>
    </w:p>
    <w:p w14:paraId="42182E51" w14:textId="77777777" w:rsidR="00367D96" w:rsidRDefault="00BB19A8">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34B5AD32"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38C233DA" w14:textId="77777777" w:rsidR="00367D96" w:rsidRDefault="00BB19A8">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14:paraId="0D4C0020"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截至2022年底，北京第四实验学校共有车辆0台，共计</w:t>
      </w:r>
      <w:r>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万元；单位价值50万元以上的通用设备0台（套），共计</w:t>
      </w:r>
      <w:r>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万元，单位价值100万元以上的专用设备0台（套）、共计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37AD7B81" w14:textId="77777777" w:rsidR="00367D96" w:rsidRDefault="00BB19A8">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1567E054"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D15AF89"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w:t>
      </w:r>
      <w:r>
        <w:rPr>
          <w:rFonts w:ascii="仿宋_GB2312" w:eastAsia="仿宋_GB2312" w:hint="eastAsia"/>
          <w:color w:val="000000"/>
          <w:sz w:val="32"/>
          <w:szCs w:val="32"/>
        </w:rPr>
        <w:lastRenderedPageBreak/>
        <w:t>业发展目标所发生的支出。</w:t>
      </w:r>
    </w:p>
    <w:p w14:paraId="53FBFD60"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CD12C91" w14:textId="72A3C259" w:rsidR="00367D96" w:rsidRDefault="00367D96" w:rsidP="00756CBE">
      <w:pPr>
        <w:pStyle w:val="2"/>
      </w:pPr>
    </w:p>
    <w:p w14:paraId="5536956F" w14:textId="77777777" w:rsidR="0026446B" w:rsidRDefault="0026446B">
      <w:pPr>
        <w:spacing w:line="560" w:lineRule="exact"/>
        <w:jc w:val="center"/>
        <w:rPr>
          <w:rFonts w:ascii="方正小标宋简体" w:eastAsia="方正小标宋简体"/>
          <w:color w:val="000000"/>
          <w:sz w:val="36"/>
          <w:szCs w:val="36"/>
        </w:rPr>
        <w:sectPr w:rsidR="0026446B">
          <w:pgSz w:w="11906" w:h="16838"/>
          <w:pgMar w:top="1440" w:right="1800" w:bottom="1440" w:left="1800" w:header="851" w:footer="992" w:gutter="0"/>
          <w:cols w:space="425"/>
          <w:docGrid w:type="lines" w:linePitch="312"/>
        </w:sectPr>
      </w:pPr>
    </w:p>
    <w:p w14:paraId="3FA78A5F" w14:textId="77777777" w:rsidR="00367D96" w:rsidRDefault="00BB19A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1974343B" w14:textId="77777777" w:rsidR="00367D96" w:rsidRDefault="00367D96">
      <w:pPr>
        <w:autoSpaceDE w:val="0"/>
        <w:autoSpaceDN w:val="0"/>
        <w:adjustRightInd w:val="0"/>
        <w:spacing w:line="560" w:lineRule="exact"/>
        <w:jc w:val="left"/>
        <w:rPr>
          <w:rFonts w:ascii="方正小标宋简体" w:eastAsia="方正小标宋简体"/>
          <w:color w:val="000000"/>
          <w:sz w:val="36"/>
          <w:szCs w:val="36"/>
        </w:rPr>
      </w:pPr>
    </w:p>
    <w:p w14:paraId="1A048D7C" w14:textId="77777777" w:rsidR="00367D96" w:rsidRDefault="00BB19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附件：北京第四实验学校</w:t>
      </w:r>
      <w:r>
        <w:rPr>
          <w:rFonts w:ascii="仿宋_GB2312" w:eastAsia="仿宋_GB2312"/>
          <w:color w:val="000000"/>
          <w:sz w:val="32"/>
          <w:szCs w:val="32"/>
        </w:rPr>
        <w:tab/>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3BB47D8D" w14:textId="77777777" w:rsidR="00367D96" w:rsidRDefault="00367D96"/>
    <w:sectPr w:rsidR="00367D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2ABBA" w14:textId="77777777" w:rsidR="00AD535F" w:rsidRDefault="00AD535F">
      <w:r>
        <w:separator/>
      </w:r>
    </w:p>
  </w:endnote>
  <w:endnote w:type="continuationSeparator" w:id="0">
    <w:p w14:paraId="30CFD302" w14:textId="77777777" w:rsidR="00AD535F" w:rsidRDefault="00AD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0963" w14:textId="77777777" w:rsidR="00367D96" w:rsidRDefault="00BB19A8">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26BCB040" wp14:editId="2FC25BFF">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4E5009D2" w14:textId="77777777" w:rsidR="00367D96" w:rsidRDefault="00BB19A8">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54680" w:rsidRPr="00054680">
                            <w:rPr>
                              <w:rFonts w:ascii="宋体" w:hAnsi="宋体"/>
                              <w:noProof/>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26BCB040"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4E5009D2" w14:textId="77777777" w:rsidR="00367D96" w:rsidRDefault="00BB19A8">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54680" w:rsidRPr="00054680">
                      <w:rPr>
                        <w:rFonts w:ascii="宋体" w:hAnsi="宋体"/>
                        <w:noProof/>
                        <w:sz w:val="28"/>
                        <w:szCs w:val="28"/>
                        <w:lang w:val="zh-CN"/>
                      </w:rPr>
                      <w:t>6</w:t>
                    </w:r>
                    <w:r>
                      <w:rPr>
                        <w:rFonts w:ascii="宋体" w:hAnsi="宋体"/>
                        <w:sz w:val="28"/>
                        <w:szCs w:val="28"/>
                      </w:rPr>
                      <w:fldChar w:fldCharType="end"/>
                    </w:r>
                  </w:p>
                </w:txbxContent>
              </v:textbox>
              <w10:wrap anchorx="margin"/>
            </v:shape>
          </w:pict>
        </mc:Fallback>
      </mc:AlternateContent>
    </w:r>
  </w:p>
  <w:p w14:paraId="2806CA2C" w14:textId="77777777" w:rsidR="00367D96" w:rsidRDefault="00367D96">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C1DD7" w14:textId="77777777" w:rsidR="00AD535F" w:rsidRDefault="00AD535F">
      <w:r>
        <w:separator/>
      </w:r>
    </w:p>
  </w:footnote>
  <w:footnote w:type="continuationSeparator" w:id="0">
    <w:p w14:paraId="5F8E5A77" w14:textId="77777777" w:rsidR="00AD535F" w:rsidRDefault="00AD5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5E3D1D"/>
    <w:multiLevelType w:val="multilevel"/>
    <w:tmpl w:val="555E3D1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1942104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ZmZWJhYzgwYWZlY2M4OTU1NzQ5MTg3NjE1YWY4OWQifQ=="/>
  </w:docVars>
  <w:rsids>
    <w:rsidRoot w:val="00D263AC"/>
    <w:rsid w:val="000179DD"/>
    <w:rsid w:val="00054680"/>
    <w:rsid w:val="00090DBD"/>
    <w:rsid w:val="000B1766"/>
    <w:rsid w:val="000D5CBA"/>
    <w:rsid w:val="00123A55"/>
    <w:rsid w:val="00167ABA"/>
    <w:rsid w:val="001E5F81"/>
    <w:rsid w:val="001F0392"/>
    <w:rsid w:val="00224715"/>
    <w:rsid w:val="002520E3"/>
    <w:rsid w:val="0026446B"/>
    <w:rsid w:val="002F693B"/>
    <w:rsid w:val="0035069B"/>
    <w:rsid w:val="00361888"/>
    <w:rsid w:val="00367D96"/>
    <w:rsid w:val="003B7067"/>
    <w:rsid w:val="003C6CAB"/>
    <w:rsid w:val="003D7042"/>
    <w:rsid w:val="00426E34"/>
    <w:rsid w:val="004A480B"/>
    <w:rsid w:val="004C2C15"/>
    <w:rsid w:val="004F1985"/>
    <w:rsid w:val="00527523"/>
    <w:rsid w:val="00624A16"/>
    <w:rsid w:val="0068064F"/>
    <w:rsid w:val="006D1EE2"/>
    <w:rsid w:val="00746464"/>
    <w:rsid w:val="00756CBE"/>
    <w:rsid w:val="007C6A44"/>
    <w:rsid w:val="00815321"/>
    <w:rsid w:val="00816B19"/>
    <w:rsid w:val="00862487"/>
    <w:rsid w:val="008F3DB3"/>
    <w:rsid w:val="00915F22"/>
    <w:rsid w:val="0094529E"/>
    <w:rsid w:val="009B75F8"/>
    <w:rsid w:val="009C0C96"/>
    <w:rsid w:val="00A16BB7"/>
    <w:rsid w:val="00A4604F"/>
    <w:rsid w:val="00A754DE"/>
    <w:rsid w:val="00AB7521"/>
    <w:rsid w:val="00AD535F"/>
    <w:rsid w:val="00B575B9"/>
    <w:rsid w:val="00BB19A8"/>
    <w:rsid w:val="00BD5DC3"/>
    <w:rsid w:val="00C96090"/>
    <w:rsid w:val="00D126F2"/>
    <w:rsid w:val="00D263AC"/>
    <w:rsid w:val="00D77FD4"/>
    <w:rsid w:val="00E1049F"/>
    <w:rsid w:val="00E62996"/>
    <w:rsid w:val="00E93A98"/>
    <w:rsid w:val="00F019EC"/>
    <w:rsid w:val="00F249DF"/>
    <w:rsid w:val="00F32333"/>
    <w:rsid w:val="2B676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5C7A5"/>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429-4559-B789-8678A30D28D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429-4559-B789-8678A30D28D6}"/>
              </c:ext>
            </c:extLst>
          </c:dPt>
          <c:dLbls>
            <c:dLbl>
              <c:idx val="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extLst>
                <c:ext xmlns:c16="http://schemas.microsoft.com/office/drawing/2014/chart" uri="{C3380CC4-5D6E-409C-BE32-E72D297353CC}">
                  <c16:uniqueId val="{00000001-0429-4559-B789-8678A30D28D6}"/>
                </c:ext>
              </c:extLst>
            </c:dLbl>
            <c:dLbl>
              <c:idx val="1"/>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extLst>
                <c:ext xmlns:c16="http://schemas.microsoft.com/office/drawing/2014/chart" uri="{C3380CC4-5D6E-409C-BE32-E72D297353CC}">
                  <c16:uniqueId val="{00000003-0429-4559-B789-8678A30D28D6}"/>
                </c:ext>
              </c:extLst>
            </c:dLbl>
            <c:spPr>
              <a:noFill/>
              <a:ln>
                <a:noFill/>
              </a:ln>
              <a:effectLst/>
            </c:spPr>
            <c:txPr>
              <a:bodyPr rot="0" spcFirstLastPara="1" vertOverflow="ellipsis" vert="horz" wrap="square" lIns="38100" tIns="19050" rIns="38100" bIns="19050" anchor="ctr" anchorCtr="1">
                <a:spAutoFit/>
              </a:bodyPr>
              <a:lstStyle/>
              <a:p>
                <a:pPr>
                  <a:defRPr lang="zh-CN" sz="1100" b="1"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Sheet1!$C$8:$C$9</c:f>
              <c:strCache>
                <c:ptCount val="2"/>
                <c:pt idx="0">
                  <c:v>一般公共预算拨款收入</c:v>
                </c:pt>
                <c:pt idx="1">
                  <c:v>上年结转结余</c:v>
                </c:pt>
              </c:strCache>
            </c:strRef>
          </c:cat>
          <c:val>
            <c:numRef>
              <c:f>Sheet1!$D$8:$D$9</c:f>
              <c:numCache>
                <c:formatCode>0.00%</c:formatCode>
                <c:ptCount val="2"/>
                <c:pt idx="0">
                  <c:v>0.277473978377482</c:v>
                </c:pt>
                <c:pt idx="1">
                  <c:v>0.722526021622518</c:v>
                </c:pt>
              </c:numCache>
            </c:numRef>
          </c:val>
          <c:extLst>
            <c:ext xmlns:c16="http://schemas.microsoft.com/office/drawing/2014/chart" uri="{C3380CC4-5D6E-409C-BE32-E72D297353CC}">
              <c16:uniqueId val="{00000004-0429-4559-B789-8678A30D28D6}"/>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基本支出和项目支出情况</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23D-4A4F-9E1B-57644BCDA02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23D-4A4F-9E1B-57644BCDA025}"/>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Sheet1!$C$34:$C$35</c:f>
              <c:strCache>
                <c:ptCount val="2"/>
                <c:pt idx="0">
                  <c:v>基本支出</c:v>
                </c:pt>
                <c:pt idx="1">
                  <c:v>项目支出</c:v>
                </c:pt>
              </c:strCache>
            </c:strRef>
          </c:cat>
          <c:val>
            <c:numRef>
              <c:f>Sheet1!$D$34:$D$35</c:f>
              <c:numCache>
                <c:formatCode>0.00%</c:formatCode>
                <c:ptCount val="2"/>
                <c:pt idx="0">
                  <c:v>0.23221352532297601</c:v>
                </c:pt>
                <c:pt idx="1">
                  <c:v>0.76778647467702399</c:v>
                </c:pt>
              </c:numCache>
            </c:numRef>
          </c:val>
          <c:extLst>
            <c:ext xmlns:c16="http://schemas.microsoft.com/office/drawing/2014/chart" uri="{C3380CC4-5D6E-409C-BE32-E72D297353CC}">
              <c16:uniqueId val="{00000004-423D-4A4F-9E1B-57644BCDA02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284</Words>
  <Characters>1624</Characters>
  <Application>Microsoft Office Word</Application>
  <DocSecurity>0</DocSecurity>
  <Lines>13</Lines>
  <Paragraphs>3</Paragraphs>
  <ScaleCrop>false</ScaleCrop>
  <Company>Microsoft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33</cp:revision>
  <dcterms:created xsi:type="dcterms:W3CDTF">2023-02-20T00:26:00Z</dcterms:created>
  <dcterms:modified xsi:type="dcterms:W3CDTF">2023-03-08T02:47:00Z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823646AFE8A7438F87D3E17C02D4573E</vt:lpwstr>
  </property>
</Properties>
</file>