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9C993" w14:textId="77777777" w:rsidR="00852C99" w:rsidRDefault="00852C99"/>
    <w:p w14:paraId="1E36C294" w14:textId="77777777" w:rsidR="00852C9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北京市教育政务服务中心2023年财政预算信息公开</w:t>
      </w:r>
    </w:p>
    <w:p w14:paraId="35D367C1" w14:textId="77777777" w:rsidR="00852C99" w:rsidRDefault="00852C99">
      <w:pPr>
        <w:spacing w:line="240" w:lineRule="exact"/>
        <w:jc w:val="center"/>
        <w:rPr>
          <w:rFonts w:ascii="方正小标宋简体" w:eastAsia="方正小标宋简体"/>
          <w:color w:val="000000"/>
          <w:sz w:val="32"/>
          <w:szCs w:val="32"/>
        </w:rPr>
      </w:pPr>
    </w:p>
    <w:p w14:paraId="0A40359A" w14:textId="77777777" w:rsidR="00852C9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5C550A4B" w14:textId="77777777" w:rsidR="00852C99" w:rsidRDefault="00852C99">
      <w:pPr>
        <w:spacing w:line="240" w:lineRule="exact"/>
        <w:jc w:val="center"/>
        <w:rPr>
          <w:rFonts w:ascii="方正小标宋简体" w:eastAsia="方正小标宋简体"/>
          <w:color w:val="000000"/>
          <w:sz w:val="32"/>
          <w:szCs w:val="32"/>
        </w:rPr>
      </w:pPr>
    </w:p>
    <w:p w14:paraId="4578C5AC" w14:textId="77777777" w:rsidR="00852C9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45443CF0" w14:textId="77777777" w:rsidR="00852C9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14:paraId="65E29AC7" w14:textId="77777777" w:rsidR="00852C9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4158AB18" w14:textId="77777777" w:rsidR="00852C9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01A899A7" w14:textId="77777777" w:rsidR="00852C9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3C1B5EA8" w14:textId="77777777" w:rsidR="00852C9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010B1559" w14:textId="77777777" w:rsidR="00852C99"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213EACC2" w14:textId="77777777" w:rsidR="00852C99"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7C765582"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62BB490F"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45EEAB2D" w14:textId="77777777" w:rsidR="00852C9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7029B84F" w14:textId="77777777" w:rsidR="00852C9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0B909C2C" w14:textId="77777777" w:rsidR="00852C99"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45C405FF"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0C26E274"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4ACA3550" w14:textId="77777777" w:rsidR="00852C9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4A6C083E"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2D85059F"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63356918" w14:textId="77777777" w:rsidR="00852C99"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130DB0BD" w14:textId="77777777" w:rsidR="00852C99"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0F41EF2C" w14:textId="77777777" w:rsidR="00852C99"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852C99">
          <w:footerReference w:type="default" r:id="rId7"/>
          <w:pgSz w:w="11906" w:h="16838"/>
          <w:pgMar w:top="1440" w:right="1797" w:bottom="1440" w:left="1797"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6F811A69" w14:textId="77777777" w:rsidR="00852C99" w:rsidRDefault="00852C9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46DF2D86" w14:textId="77777777" w:rsidR="00852C99"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7AE23F6C" w14:textId="77777777" w:rsidR="00852C99" w:rsidRDefault="00852C99">
      <w:pPr>
        <w:spacing w:line="560" w:lineRule="exact"/>
        <w:ind w:firstLineChars="200" w:firstLine="640"/>
        <w:rPr>
          <w:rFonts w:ascii="黑体" w:eastAsia="黑体"/>
          <w:color w:val="000000"/>
          <w:sz w:val="32"/>
          <w:szCs w:val="32"/>
        </w:rPr>
      </w:pPr>
    </w:p>
    <w:p w14:paraId="54A818F4" w14:textId="77777777" w:rsidR="00852C99"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4FD23942" w14:textId="77777777" w:rsidR="00852C9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EEB730A" w14:textId="2E175015" w:rsidR="00852C99" w:rsidRDefault="00000000">
      <w:pPr>
        <w:ind w:firstLine="555"/>
        <w:outlineLvl w:val="0"/>
        <w:rPr>
          <w:rFonts w:ascii="仿宋_GB2312" w:eastAsia="仿宋_GB2312" w:hAnsi="楷体" w:cs="楷体"/>
          <w:bCs/>
          <w:color w:val="000000"/>
          <w:sz w:val="32"/>
          <w:szCs w:val="32"/>
        </w:rPr>
      </w:pPr>
      <w:r>
        <w:rPr>
          <w:rFonts w:ascii="仿宋_GB2312" w:eastAsia="仿宋_GB2312" w:hint="eastAsia"/>
          <w:sz w:val="32"/>
          <w:szCs w:val="32"/>
        </w:rPr>
        <w:t>北京市教育政务服务中</w:t>
      </w:r>
      <w:r w:rsidR="00670652">
        <w:rPr>
          <w:rFonts w:ascii="仿宋_GB2312" w:eastAsia="仿宋_GB2312" w:hint="eastAsia"/>
          <w:sz w:val="32"/>
          <w:szCs w:val="32"/>
        </w:rPr>
        <w:t>心</w:t>
      </w:r>
      <w:r>
        <w:rPr>
          <w:rFonts w:ascii="仿宋_GB2312" w:eastAsia="仿宋_GB2312" w:hint="eastAsia"/>
          <w:sz w:val="32"/>
          <w:szCs w:val="32"/>
        </w:rPr>
        <w:t>是公益一类事业单位。</w:t>
      </w:r>
    </w:p>
    <w:p w14:paraId="39A92D36" w14:textId="77777777" w:rsidR="00852C99" w:rsidRDefault="00000000">
      <w:pPr>
        <w:widowControl/>
        <w:ind w:firstLine="560"/>
        <w:jc w:val="left"/>
        <w:rPr>
          <w:rFonts w:ascii="仿宋_GB2312" w:eastAsia="仿宋_GB2312" w:hAnsi="仿宋_GB2312" w:cs="仿宋_GB2312"/>
          <w:color w:val="333333"/>
          <w:kern w:val="0"/>
          <w:sz w:val="32"/>
          <w:szCs w:val="32"/>
          <w:shd w:val="clear" w:color="auto" w:fill="FFFFFF"/>
        </w:rPr>
      </w:pPr>
      <w:r>
        <w:rPr>
          <w:rFonts w:ascii="仿宋_GB2312" w:eastAsia="仿宋_GB2312" w:hint="eastAsia"/>
          <w:sz w:val="32"/>
          <w:szCs w:val="32"/>
        </w:rPr>
        <w:t>北京市教育政务服务中心的主要职责是</w:t>
      </w:r>
      <w:r>
        <w:rPr>
          <w:rFonts w:ascii="仿宋_GB2312" w:eastAsia="仿宋_GB2312" w:hAnsi="仿宋_GB2312" w:cs="仿宋_GB2312" w:hint="eastAsia"/>
          <w:color w:val="333333"/>
          <w:kern w:val="0"/>
          <w:sz w:val="32"/>
          <w:szCs w:val="32"/>
          <w:shd w:val="clear" w:color="auto" w:fill="FFFFFF"/>
        </w:rPr>
        <w:t>负责北京市教育委员会政务服务相关事务性工作。承担政务服务进驻窗口事项的事务性工作；承担北京市教育系统市民热线相关工作；承担信息公开、政务公开事务性工作；承担政风行风</w:t>
      </w:r>
      <w:proofErr w:type="gramStart"/>
      <w:r>
        <w:rPr>
          <w:rFonts w:ascii="仿宋_GB2312" w:eastAsia="仿宋_GB2312" w:hAnsi="仿宋_GB2312" w:cs="仿宋_GB2312" w:hint="eastAsia"/>
          <w:color w:val="333333"/>
          <w:kern w:val="0"/>
          <w:sz w:val="32"/>
          <w:szCs w:val="32"/>
          <w:shd w:val="clear" w:color="auto" w:fill="FFFFFF"/>
        </w:rPr>
        <w:t>及政民互动</w:t>
      </w:r>
      <w:proofErr w:type="gramEnd"/>
      <w:r>
        <w:rPr>
          <w:rFonts w:ascii="仿宋_GB2312" w:eastAsia="仿宋_GB2312" w:hAnsi="仿宋_GB2312" w:cs="仿宋_GB2312" w:hint="eastAsia"/>
          <w:color w:val="333333"/>
          <w:kern w:val="0"/>
          <w:sz w:val="32"/>
          <w:szCs w:val="32"/>
          <w:shd w:val="clear" w:color="auto" w:fill="FFFFFF"/>
        </w:rPr>
        <w:t>平台相关事务性工作；协助机要交换工作；</w:t>
      </w:r>
      <w:r>
        <w:rPr>
          <w:rFonts w:ascii="仿宋_GB2312" w:eastAsia="仿宋_GB2312" w:hAnsi="仿宋" w:hint="eastAsia"/>
          <w:bCs/>
          <w:sz w:val="32"/>
          <w:szCs w:val="32"/>
        </w:rPr>
        <w:t>承担北京市学位授予信息管理及报送工作。</w:t>
      </w:r>
    </w:p>
    <w:p w14:paraId="2A383DA5" w14:textId="77777777" w:rsidR="00852C9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DB03F18" w14:textId="77777777" w:rsidR="002B3866" w:rsidRDefault="002B3866">
      <w:pPr>
        <w:spacing w:line="560" w:lineRule="exact"/>
        <w:ind w:firstLineChars="200" w:firstLine="640"/>
        <w:rPr>
          <w:rFonts w:ascii="仿宋_GB2312" w:eastAsia="仿宋_GB2312" w:hAnsi="楷体" w:cs="楷体"/>
          <w:bCs/>
          <w:color w:val="000000"/>
          <w:sz w:val="32"/>
          <w:szCs w:val="32"/>
        </w:rPr>
      </w:pPr>
      <w:r>
        <w:rPr>
          <w:rFonts w:ascii="仿宋_GB2312" w:eastAsia="仿宋_GB2312" w:hint="eastAsia"/>
          <w:sz w:val="32"/>
          <w:szCs w:val="32"/>
        </w:rPr>
        <w:t>北京市教育政务服务中心内设4个科室，分别为</w:t>
      </w:r>
      <w:r>
        <w:rPr>
          <w:rFonts w:ascii="仿宋_GB2312" w:eastAsia="仿宋_GB2312" w:hAnsi="楷体" w:cs="楷体" w:hint="eastAsia"/>
          <w:bCs/>
          <w:color w:val="000000"/>
          <w:sz w:val="32"/>
          <w:szCs w:val="32"/>
        </w:rPr>
        <w:t>政务信息科、行政审批服务科、热线服务科和办公室。</w:t>
      </w:r>
    </w:p>
    <w:p w14:paraId="4AA1B24A" w14:textId="4FDB5DF4" w:rsidR="00852C99" w:rsidRDefault="002B3866">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北京市教育政务服务中心包括1个预算单位，即北京市教育政务服务中心。</w:t>
      </w:r>
    </w:p>
    <w:p w14:paraId="3841A86F" w14:textId="77777777" w:rsidR="00852C9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49E78536" w14:textId="107D3650" w:rsidR="00852C99" w:rsidRDefault="00000000">
      <w:pPr>
        <w:ind w:firstLineChars="200" w:firstLine="640"/>
        <w:rPr>
          <w:rFonts w:ascii="仿宋_GB2312" w:eastAsia="仿宋_GB2312"/>
          <w:sz w:val="32"/>
          <w:szCs w:val="32"/>
        </w:rPr>
      </w:pPr>
      <w:r>
        <w:rPr>
          <w:rFonts w:ascii="仿宋_GB2312" w:eastAsia="仿宋_GB2312" w:hint="eastAsia"/>
          <w:sz w:val="32"/>
          <w:szCs w:val="32"/>
        </w:rPr>
        <w:t>北京市教育政务服务中心</w:t>
      </w:r>
      <w:r w:rsidR="00A171B0" w:rsidRPr="00A171B0">
        <w:rPr>
          <w:rFonts w:ascii="仿宋_GB2312" w:eastAsia="仿宋_GB2312" w:hint="eastAsia"/>
          <w:sz w:val="32"/>
          <w:szCs w:val="32"/>
        </w:rPr>
        <w:t>行政编制0人，实有人数0人；</w:t>
      </w:r>
      <w:r>
        <w:rPr>
          <w:rFonts w:ascii="仿宋_GB2312" w:eastAsia="仿宋_GB2312" w:hint="eastAsia"/>
          <w:color w:val="000000"/>
          <w:sz w:val="32"/>
          <w:szCs w:val="32"/>
        </w:rPr>
        <w:t>事业编制26人，实有人数22人；</w:t>
      </w:r>
      <w:r>
        <w:rPr>
          <w:rFonts w:ascii="仿宋_GB2312" w:eastAsia="仿宋_GB2312" w:hint="eastAsia"/>
          <w:sz w:val="32"/>
          <w:szCs w:val="32"/>
        </w:rPr>
        <w:t>离退休人员15人，其中：离休0人，退休15人</w:t>
      </w:r>
      <w:r w:rsidR="00A171B0">
        <w:rPr>
          <w:rFonts w:ascii="仿宋_GB2312" w:eastAsia="仿宋_GB2312" w:hint="eastAsia"/>
          <w:sz w:val="32"/>
          <w:szCs w:val="32"/>
        </w:rPr>
        <w:t>；其他人员无</w:t>
      </w:r>
      <w:r>
        <w:rPr>
          <w:rFonts w:ascii="仿宋_GB2312" w:eastAsia="仿宋_GB2312" w:hint="eastAsia"/>
          <w:sz w:val="32"/>
          <w:szCs w:val="32"/>
        </w:rPr>
        <w:t>。</w:t>
      </w:r>
    </w:p>
    <w:p w14:paraId="51EE4F1E" w14:textId="77777777" w:rsidR="00852C99"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3E5E1E52" w14:textId="7773E238"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2023年度收入预算1094.42万元，比2022年年初预算</w:t>
      </w:r>
      <w:r>
        <w:rPr>
          <w:rFonts w:ascii="仿宋_GB2312" w:eastAsia="仿宋_GB2312" w:hint="eastAsia"/>
          <w:sz w:val="32"/>
          <w:szCs w:val="32"/>
        </w:rPr>
        <w:lastRenderedPageBreak/>
        <w:t>数</w:t>
      </w:r>
      <w:r>
        <w:rPr>
          <w:rFonts w:ascii="仿宋_GB2312" w:eastAsia="仿宋_GB2312"/>
          <w:color w:val="000000"/>
          <w:sz w:val="32"/>
          <w:szCs w:val="32"/>
        </w:rPr>
        <w:t>936.06</w:t>
      </w:r>
      <w:r>
        <w:rPr>
          <w:rFonts w:ascii="仿宋_GB2312" w:eastAsia="仿宋_GB2312" w:hint="eastAsia"/>
          <w:sz w:val="32"/>
          <w:szCs w:val="32"/>
        </w:rPr>
        <w:t>万元增加158.36万元，增长16.92%。</w:t>
      </w:r>
      <w:r w:rsidR="00A024AB" w:rsidRPr="00A024AB">
        <w:rPr>
          <w:rFonts w:ascii="仿宋_GB2312" w:eastAsia="仿宋_GB2312" w:hint="eastAsia"/>
          <w:sz w:val="32"/>
          <w:szCs w:val="32"/>
        </w:rPr>
        <w:t>主要原因：一是落实人员</w:t>
      </w:r>
      <w:r w:rsidR="00A73C03">
        <w:rPr>
          <w:rFonts w:ascii="仿宋_GB2312" w:eastAsia="仿宋_GB2312" w:hint="eastAsia"/>
          <w:sz w:val="32"/>
          <w:szCs w:val="32"/>
        </w:rPr>
        <w:t>工资</w:t>
      </w:r>
      <w:r w:rsidR="00A024AB" w:rsidRPr="00A024AB">
        <w:rPr>
          <w:rFonts w:ascii="仿宋_GB2312" w:eastAsia="仿宋_GB2312" w:hint="eastAsia"/>
          <w:sz w:val="32"/>
          <w:szCs w:val="32"/>
        </w:rPr>
        <w:t>等有关政策，人员经费有所增加；二是根据事业发展需要调整</w:t>
      </w:r>
      <w:r w:rsidR="00A024AB">
        <w:rPr>
          <w:rFonts w:ascii="仿宋_GB2312" w:eastAsia="仿宋_GB2312" w:hint="eastAsia"/>
          <w:sz w:val="32"/>
          <w:szCs w:val="32"/>
        </w:rPr>
        <w:t>预算</w:t>
      </w:r>
      <w:r w:rsidR="00A024AB" w:rsidRPr="00A024AB">
        <w:rPr>
          <w:rFonts w:ascii="仿宋_GB2312" w:eastAsia="仿宋_GB2312" w:hint="eastAsia"/>
          <w:sz w:val="32"/>
          <w:szCs w:val="32"/>
        </w:rPr>
        <w:t>安排。</w:t>
      </w:r>
    </w:p>
    <w:p w14:paraId="3BBE0343"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（一）本年财政拨款收入1021.26万元</w:t>
      </w:r>
    </w:p>
    <w:p w14:paraId="038FE228"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1.一般公共预算拨款收入1021.26万元。</w:t>
      </w:r>
    </w:p>
    <w:p w14:paraId="41E3D094"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5BC59282"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45926FC6"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（二）本年其他资金收入0.12万元</w:t>
      </w:r>
    </w:p>
    <w:p w14:paraId="1DD6E403"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14:paraId="57F5FBD7"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14:paraId="12CB3C27"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19CF5DDE"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14:paraId="4350BBE1"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14:paraId="0B44835A"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9.其他收入0.12万元。</w:t>
      </w:r>
    </w:p>
    <w:p w14:paraId="5E6FDAA7"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（三）上年结转结余73.04万元</w:t>
      </w:r>
    </w:p>
    <w:p w14:paraId="04241309"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10.上年结转结余73.04万元。</w:t>
      </w:r>
    </w:p>
    <w:p w14:paraId="76FAF5FD" w14:textId="77777777" w:rsidR="00852C99" w:rsidRDefault="00000000">
      <w:pPr>
        <w:spacing w:line="560" w:lineRule="exact"/>
        <w:ind w:firstLineChars="200" w:firstLine="640"/>
        <w:jc w:val="center"/>
        <w:rPr>
          <w:rFonts w:ascii="仿宋_GB2312" w:eastAsia="仿宋_GB2312"/>
          <w:sz w:val="32"/>
          <w:szCs w:val="32"/>
        </w:rPr>
      </w:pPr>
      <w:r>
        <w:rPr>
          <w:rFonts w:ascii="仿宋_GB2312" w:eastAsia="仿宋_GB2312" w:hint="eastAsia"/>
          <w:sz w:val="32"/>
        </w:rPr>
        <w:t>图1：收入预算</w:t>
      </w:r>
    </w:p>
    <w:p w14:paraId="14BBF42F" w14:textId="77777777" w:rsidR="00852C99" w:rsidRDefault="00000000">
      <w:r>
        <w:rPr>
          <w:noProof/>
        </w:rPr>
        <w:lastRenderedPageBreak/>
        <w:drawing>
          <wp:inline distT="0" distB="0" distL="0" distR="0" wp14:anchorId="460D9DD7" wp14:editId="136D1AB9">
            <wp:extent cx="5095875" cy="2781300"/>
            <wp:effectExtent l="19050" t="0" r="952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9935990" w14:textId="77777777" w:rsidR="00852C99"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6AE487B4" w14:textId="5FC0D03E" w:rsidR="00A024AB" w:rsidRDefault="00000000" w:rsidP="00A024AB">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2023年支出预算1094.42万元，比2022年年初预算数</w:t>
      </w:r>
      <w:r>
        <w:rPr>
          <w:rFonts w:ascii="仿宋_GB2312" w:eastAsia="仿宋_GB2312"/>
          <w:color w:val="000000"/>
          <w:sz w:val="32"/>
          <w:szCs w:val="32"/>
        </w:rPr>
        <w:t>936.06</w:t>
      </w:r>
      <w:r>
        <w:rPr>
          <w:rFonts w:ascii="仿宋_GB2312" w:eastAsia="仿宋_GB2312" w:hint="eastAsia"/>
          <w:sz w:val="32"/>
          <w:szCs w:val="32"/>
        </w:rPr>
        <w:t>万元增加158.36万元，增长16.92%。</w:t>
      </w:r>
      <w:r w:rsidR="00A024AB" w:rsidRPr="00A024AB">
        <w:rPr>
          <w:rFonts w:ascii="仿宋_GB2312" w:eastAsia="仿宋_GB2312" w:hint="eastAsia"/>
          <w:sz w:val="32"/>
          <w:szCs w:val="32"/>
        </w:rPr>
        <w:t>主要原因：一是落实人员</w:t>
      </w:r>
      <w:r w:rsidR="00FE4EC5">
        <w:rPr>
          <w:rFonts w:ascii="仿宋_GB2312" w:eastAsia="仿宋_GB2312" w:hint="eastAsia"/>
          <w:sz w:val="32"/>
          <w:szCs w:val="32"/>
        </w:rPr>
        <w:t>工资</w:t>
      </w:r>
      <w:r w:rsidR="00A024AB" w:rsidRPr="00A024AB">
        <w:rPr>
          <w:rFonts w:ascii="仿宋_GB2312" w:eastAsia="仿宋_GB2312" w:hint="eastAsia"/>
          <w:sz w:val="32"/>
          <w:szCs w:val="32"/>
        </w:rPr>
        <w:t>等有关政策，人员经费有所增加；二是根据事业发展需要调整</w:t>
      </w:r>
      <w:r w:rsidR="00A024AB">
        <w:rPr>
          <w:rFonts w:ascii="仿宋_GB2312" w:eastAsia="仿宋_GB2312" w:hint="eastAsia"/>
          <w:sz w:val="32"/>
          <w:szCs w:val="32"/>
        </w:rPr>
        <w:t>预算</w:t>
      </w:r>
      <w:r w:rsidR="00A024AB" w:rsidRPr="00A024AB">
        <w:rPr>
          <w:rFonts w:ascii="仿宋_GB2312" w:eastAsia="仿宋_GB2312" w:hint="eastAsia"/>
          <w:sz w:val="32"/>
          <w:szCs w:val="32"/>
        </w:rPr>
        <w:t>安排。</w:t>
      </w:r>
    </w:p>
    <w:p w14:paraId="418063B4" w14:textId="77777777" w:rsidR="00852C99"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Pr>
          <w:rFonts w:ascii="仿宋_GB2312" w:eastAsia="仿宋_GB2312" w:hint="eastAsia"/>
          <w:sz w:val="32"/>
          <w:szCs w:val="32"/>
        </w:rPr>
        <w:t>基本支出预算935.33万元，占总支出预算85.46%，比2022年年初预算数</w:t>
      </w:r>
      <w:r>
        <w:rPr>
          <w:rFonts w:ascii="仿宋_GB2312" w:eastAsia="仿宋_GB2312"/>
          <w:color w:val="000000"/>
          <w:sz w:val="32"/>
          <w:szCs w:val="32"/>
        </w:rPr>
        <w:t>814.</w:t>
      </w:r>
      <w:r>
        <w:rPr>
          <w:rFonts w:ascii="仿宋_GB2312" w:eastAsia="仿宋_GB2312" w:hint="eastAsia"/>
          <w:color w:val="000000"/>
          <w:sz w:val="32"/>
          <w:szCs w:val="32"/>
        </w:rPr>
        <w:t>20</w:t>
      </w:r>
      <w:r>
        <w:rPr>
          <w:rFonts w:ascii="仿宋_GB2312" w:eastAsia="仿宋_GB2312" w:hint="eastAsia"/>
          <w:sz w:val="32"/>
          <w:szCs w:val="32"/>
        </w:rPr>
        <w:t>万元增加121.13万元，增长14.88%。</w:t>
      </w:r>
    </w:p>
    <w:p w14:paraId="757DB818" w14:textId="77777777" w:rsidR="00852C99"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项目支出预算159.09万元，比2022年年初预算数</w:t>
      </w:r>
      <w:r>
        <w:rPr>
          <w:rFonts w:ascii="仿宋_GB2312" w:eastAsia="仿宋_GB2312" w:hint="eastAsia"/>
          <w:color w:val="000000"/>
          <w:sz w:val="32"/>
          <w:szCs w:val="32"/>
        </w:rPr>
        <w:t>121.86</w:t>
      </w:r>
      <w:r>
        <w:rPr>
          <w:rFonts w:ascii="仿宋_GB2312" w:eastAsia="仿宋_GB2312" w:hint="eastAsia"/>
          <w:sz w:val="32"/>
          <w:szCs w:val="32"/>
        </w:rPr>
        <w:t>万元增加37.23万元，增长30.55%。其中：</w:t>
      </w:r>
    </w:p>
    <w:p w14:paraId="730C6A66" w14:textId="77777777" w:rsidR="00852C99"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3E5ACAA8" w14:textId="77777777" w:rsidR="00852C99"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3C1D75C2" w14:textId="77777777" w:rsidR="00852C99"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513B6E70" w14:textId="13C2336F" w:rsidR="00852C99" w:rsidRDefault="00852C99">
      <w:pPr>
        <w:spacing w:line="560" w:lineRule="exact"/>
        <w:ind w:firstLine="640"/>
        <w:jc w:val="center"/>
        <w:rPr>
          <w:rFonts w:ascii="仿宋_GB2312" w:eastAsia="仿宋_GB2312"/>
          <w:sz w:val="32"/>
        </w:rPr>
      </w:pPr>
    </w:p>
    <w:p w14:paraId="00D5BBF7" w14:textId="77777777" w:rsidR="00AD576A" w:rsidRDefault="00AD576A">
      <w:pPr>
        <w:spacing w:line="560" w:lineRule="exact"/>
        <w:ind w:firstLine="640"/>
        <w:jc w:val="center"/>
        <w:rPr>
          <w:rFonts w:ascii="仿宋_GB2312" w:eastAsia="仿宋_GB2312"/>
          <w:sz w:val="32"/>
        </w:rPr>
      </w:pPr>
    </w:p>
    <w:p w14:paraId="7008AC28" w14:textId="571CA43E" w:rsidR="00852C99" w:rsidRDefault="00000000">
      <w:pPr>
        <w:spacing w:line="560" w:lineRule="exact"/>
        <w:ind w:firstLine="640"/>
        <w:jc w:val="center"/>
        <w:rPr>
          <w:rFonts w:ascii="仿宋_GB2312" w:eastAsia="仿宋_GB2312"/>
          <w:sz w:val="32"/>
          <w:szCs w:val="32"/>
        </w:rPr>
      </w:pPr>
      <w:r>
        <w:rPr>
          <w:rFonts w:ascii="仿宋_GB2312" w:eastAsia="仿宋_GB2312" w:hint="eastAsia"/>
          <w:sz w:val="32"/>
        </w:rPr>
        <w:lastRenderedPageBreak/>
        <w:t>图2：基本支出和项目支出情况</w:t>
      </w:r>
    </w:p>
    <w:p w14:paraId="17C162D6" w14:textId="77777777" w:rsidR="00852C99" w:rsidRDefault="00000000">
      <w:r>
        <w:rPr>
          <w:noProof/>
        </w:rPr>
        <w:drawing>
          <wp:inline distT="0" distB="0" distL="0" distR="0" wp14:anchorId="5BA6E7F9" wp14:editId="2D1E2136">
            <wp:extent cx="5353050" cy="2790825"/>
            <wp:effectExtent l="19050" t="0" r="1905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0F95939" w14:textId="77777777" w:rsidR="00852C99"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28E0C35D"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51B390BD"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北京市教育政务服务中心</w:t>
      </w:r>
      <w:r>
        <w:rPr>
          <w:rFonts w:ascii="仿宋_GB2312" w:eastAsia="仿宋_GB2312" w:hint="eastAsia"/>
          <w:color w:val="000000"/>
          <w:sz w:val="32"/>
          <w:szCs w:val="32"/>
        </w:rPr>
        <w:t>因公出国（境）费用、公务接待费、公务用车购置和运行维护费开支单位包括北京市教育政务服务中心1个所属单位。</w:t>
      </w:r>
      <w:r>
        <w:rPr>
          <w:rFonts w:ascii="仿宋_GB2312" w:eastAsia="仿宋_GB2312" w:hint="eastAsia"/>
          <w:sz w:val="32"/>
          <w:szCs w:val="32"/>
        </w:rPr>
        <w:t>其他所属单位2023年无财政拨款安排的“三公”经费预算。</w:t>
      </w:r>
    </w:p>
    <w:p w14:paraId="70C48736"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（二）财政拨款“三公”经费预算情况说明</w:t>
      </w:r>
    </w:p>
    <w:p w14:paraId="3E8419AE"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2023年财政拨款“三公”经费预算2.50万元，比2022年财政拨款“三公”经费预算增加0.52万元。其中：</w:t>
      </w:r>
    </w:p>
    <w:p w14:paraId="6CD9F3D0"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1.因公出国（境）费用。2023年预算数0万元，与2022年持平。</w:t>
      </w:r>
    </w:p>
    <w:p w14:paraId="006B56F8"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2.公务接待费。2023年预算数0万元，比2022年年初预算数0.09万元减少0.09万元，主要原因：落实政府“过紧日子”要求，进一步压减一般性支出。</w:t>
      </w:r>
    </w:p>
    <w:p w14:paraId="30F42ADB" w14:textId="51B88B8F"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3.公务用车购置和运行维护费。2023年预算数2.50万</w:t>
      </w:r>
      <w:r>
        <w:rPr>
          <w:rFonts w:ascii="仿宋_GB2312" w:eastAsia="仿宋_GB2312" w:hint="eastAsia"/>
          <w:sz w:val="32"/>
          <w:szCs w:val="32"/>
        </w:rPr>
        <w:lastRenderedPageBreak/>
        <w:t>元，其中，公务用车购置费2023年预算数0万元，与2022年持平；公务用车运行维护费2023年预算数2.50万元，其中：公务用车燃油1.32万元，公务用车维修0.43万元，公务用车保险0.43万元，其他支出0.32万元。公务用车运行维护费2023年预算数比2022年年初预算数1.89万元增加0.61万元。主要原因：根据车辆运行实际情况，运行维护费有所增加。</w:t>
      </w:r>
    </w:p>
    <w:p w14:paraId="221CE755" w14:textId="77777777" w:rsidR="00852C99"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49E369B4"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45AFAF7"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2023年北京市教育政务服务中心政府采购预算总额11.00万元，其中：政府采购货物预算0万元，政府采购工程预算0万元，政府采购服务预算11.00万元。</w:t>
      </w:r>
    </w:p>
    <w:p w14:paraId="215AAC5A"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2E92AB46" w14:textId="191043C9"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2023年北京市教育政务服务中心</w:t>
      </w:r>
      <w:r w:rsidR="004203A2" w:rsidRPr="00D86960">
        <w:rPr>
          <w:rFonts w:ascii="仿宋_GB2312" w:eastAsia="仿宋_GB2312" w:hint="eastAsia"/>
          <w:sz w:val="32"/>
          <w:szCs w:val="32"/>
        </w:rPr>
        <w:t>政府购买服务预算总额</w:t>
      </w:r>
      <w:r w:rsidR="004203A2">
        <w:rPr>
          <w:rFonts w:ascii="仿宋_GB2312" w:eastAsia="仿宋_GB2312"/>
          <w:sz w:val="32"/>
          <w:szCs w:val="32"/>
        </w:rPr>
        <w:t>0</w:t>
      </w:r>
      <w:r w:rsidR="004203A2" w:rsidRPr="00D86960">
        <w:rPr>
          <w:rFonts w:ascii="仿宋_GB2312" w:eastAsia="仿宋_GB2312" w:hint="eastAsia"/>
          <w:sz w:val="32"/>
          <w:szCs w:val="32"/>
        </w:rPr>
        <w:t>万元</w:t>
      </w:r>
      <w:r>
        <w:rPr>
          <w:rFonts w:ascii="仿宋_GB2312" w:eastAsia="仿宋_GB2312" w:hint="eastAsia"/>
          <w:color w:val="000000"/>
          <w:sz w:val="32"/>
          <w:szCs w:val="32"/>
        </w:rPr>
        <w:t>。</w:t>
      </w:r>
    </w:p>
    <w:p w14:paraId="4BC16735"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55A140BB"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14:paraId="263D3607"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154E7A32" w14:textId="77777777" w:rsidR="00852C99"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2023年，北京市教育政务服务中心填报绩效目标的预算项目2个，占本单位本年预算项目2个的100%。填报绩效目标的项目支出预算159.09万元，占本单位本年项目支出预算的100%。</w:t>
      </w:r>
    </w:p>
    <w:p w14:paraId="7EB286DC"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21EC96B1" w14:textId="77777777" w:rsidR="00852C99" w:rsidRDefault="00000000">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本单位2023年无重点行政事业性收费。</w:t>
      </w:r>
    </w:p>
    <w:p w14:paraId="0C5DC604" w14:textId="77777777" w:rsidR="00852C99"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lastRenderedPageBreak/>
        <w:t>（六）国有资本经营预算财政拨款情况说明</w:t>
      </w:r>
    </w:p>
    <w:p w14:paraId="04824666"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14D35A59" w14:textId="77777777" w:rsidR="00852C99"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0B3DD104"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Pr>
          <w:rFonts w:ascii="仿宋_GB2312" w:eastAsia="仿宋_GB2312" w:hint="eastAsia"/>
          <w:sz w:val="32"/>
          <w:szCs w:val="32"/>
        </w:rPr>
        <w:t>北京市教育政务服务中心</w:t>
      </w:r>
      <w:r>
        <w:rPr>
          <w:rFonts w:ascii="仿宋_GB2312" w:eastAsia="仿宋_GB2312" w:hint="eastAsia"/>
          <w:color w:val="000000"/>
          <w:sz w:val="32"/>
          <w:szCs w:val="32"/>
        </w:rPr>
        <w:t>共有车辆1台，共计16.97万元；单位价值50万元以上的通用设备0台（套），共计0万元，单位价值100万元以上的专用设备0台（套）、共计0万元。</w:t>
      </w:r>
    </w:p>
    <w:p w14:paraId="5D884145" w14:textId="0605452C" w:rsidR="00852C99"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4F3CE475"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179011F"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03F3BAEB"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9D50FD4" w14:textId="77777777" w:rsidR="00907083" w:rsidRDefault="00907083">
      <w:pPr>
        <w:spacing w:line="560" w:lineRule="exact"/>
        <w:jc w:val="center"/>
        <w:rPr>
          <w:rFonts w:ascii="方正小标宋简体" w:eastAsia="方正小标宋简体"/>
          <w:color w:val="000000"/>
          <w:sz w:val="36"/>
          <w:szCs w:val="36"/>
        </w:rPr>
        <w:sectPr w:rsidR="00907083">
          <w:pgSz w:w="11906" w:h="16838"/>
          <w:pgMar w:top="1440" w:right="1800" w:bottom="1440" w:left="1800" w:header="851" w:footer="992" w:gutter="0"/>
          <w:cols w:space="425"/>
          <w:docGrid w:type="lines" w:linePitch="312"/>
        </w:sectPr>
      </w:pPr>
    </w:p>
    <w:p w14:paraId="6C20C6D1" w14:textId="77777777" w:rsidR="00852C99"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40782275" w14:textId="77777777" w:rsidR="00852C99" w:rsidRDefault="00852C99">
      <w:pPr>
        <w:autoSpaceDE w:val="0"/>
        <w:autoSpaceDN w:val="0"/>
        <w:adjustRightInd w:val="0"/>
        <w:spacing w:line="560" w:lineRule="exact"/>
        <w:jc w:val="left"/>
        <w:rPr>
          <w:rFonts w:ascii="方正小标宋简体" w:eastAsia="方正小标宋简体"/>
          <w:color w:val="000000"/>
          <w:sz w:val="36"/>
          <w:szCs w:val="36"/>
        </w:rPr>
      </w:pPr>
    </w:p>
    <w:p w14:paraId="5BCEB6F2" w14:textId="77777777" w:rsidR="00852C99"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北京市教育政务服务中心</w:t>
      </w:r>
      <w:r>
        <w:rPr>
          <w:rFonts w:ascii="仿宋_GB2312" w:eastAsia="仿宋_GB2312" w:hint="eastAsia"/>
          <w:color w:val="000000"/>
          <w:sz w:val="32"/>
          <w:szCs w:val="32"/>
        </w:rPr>
        <w:t>2023年度单位预算报表</w:t>
      </w:r>
    </w:p>
    <w:p w14:paraId="244D56F4" w14:textId="77777777" w:rsidR="00852C99" w:rsidRDefault="00852C99"/>
    <w:sectPr w:rsidR="00852C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6CDA7" w14:textId="77777777" w:rsidR="00C52A0A" w:rsidRDefault="00C52A0A">
      <w:r>
        <w:separator/>
      </w:r>
    </w:p>
  </w:endnote>
  <w:endnote w:type="continuationSeparator" w:id="0">
    <w:p w14:paraId="7540912C" w14:textId="77777777" w:rsidR="00C52A0A" w:rsidRDefault="00C52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DA61" w14:textId="77777777" w:rsidR="00852C99" w:rsidRDefault="00000000">
    <w:pPr>
      <w:pStyle w:val="a5"/>
      <w:jc w:val="right"/>
      <w:rPr>
        <w:rFonts w:ascii="宋体" w:hAnsi="宋体"/>
        <w:sz w:val="28"/>
        <w:szCs w:val="28"/>
      </w:rPr>
    </w:pPr>
    <w:r>
      <w:rPr>
        <w:sz w:val="28"/>
      </w:rPr>
      <w:pict w14:anchorId="5FD688EF">
        <v:shapetype id="_x0000_t202" coordsize="21600,21600" o:spt="202" path="m,l,21600r21600,l21600,xe">
          <v:stroke joinstyle="miter"/>
          <v:path gradientshapeok="t" o:connecttype="rect"/>
        </v:shapetype>
        <v:shape id="文本框 3" o:spid="_x0000_s1026" type="#_x0000_t202" style="position:absolute;left:0;text-align:left;margin-left:-80.75pt;margin-top:0;width:35.05pt;height:18.15pt;z-index:251659264;mso-wrap-style:none;mso-position-horizontal:outside;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44501E81" w14:textId="77777777" w:rsidR="00852C99"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txbxContent>
          </v:textbox>
          <w10:wrap anchorx="margin"/>
        </v:shape>
      </w:pict>
    </w:r>
  </w:p>
  <w:p w14:paraId="3E35730F" w14:textId="77777777" w:rsidR="00852C99" w:rsidRDefault="00852C99">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EC9E5" w14:textId="77777777" w:rsidR="00C52A0A" w:rsidRDefault="00C52A0A">
      <w:r>
        <w:separator/>
      </w:r>
    </w:p>
  </w:footnote>
  <w:footnote w:type="continuationSeparator" w:id="0">
    <w:p w14:paraId="7EE2FC86" w14:textId="77777777" w:rsidR="00C52A0A" w:rsidRDefault="00C52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zk3YzUxOTc2MTAyNGNjZTU1YWUwNTU5OGI2YTZkODUifQ=="/>
  </w:docVars>
  <w:rsids>
    <w:rsidRoot w:val="00D263AC"/>
    <w:rsid w:val="00014DB9"/>
    <w:rsid w:val="000453EC"/>
    <w:rsid w:val="000700A0"/>
    <w:rsid w:val="000B77EE"/>
    <w:rsid w:val="000E79C2"/>
    <w:rsid w:val="00101053"/>
    <w:rsid w:val="001148B3"/>
    <w:rsid w:val="0011538F"/>
    <w:rsid w:val="001967DF"/>
    <w:rsid w:val="001A0655"/>
    <w:rsid w:val="001D40B3"/>
    <w:rsid w:val="001F59A4"/>
    <w:rsid w:val="002573F4"/>
    <w:rsid w:val="00292437"/>
    <w:rsid w:val="002A70B3"/>
    <w:rsid w:val="002B3866"/>
    <w:rsid w:val="0031786A"/>
    <w:rsid w:val="0034269A"/>
    <w:rsid w:val="0035069B"/>
    <w:rsid w:val="0036581B"/>
    <w:rsid w:val="0039550B"/>
    <w:rsid w:val="003C1511"/>
    <w:rsid w:val="003D3365"/>
    <w:rsid w:val="0040763F"/>
    <w:rsid w:val="00416837"/>
    <w:rsid w:val="004203A2"/>
    <w:rsid w:val="004455D7"/>
    <w:rsid w:val="00454A2B"/>
    <w:rsid w:val="0047514D"/>
    <w:rsid w:val="00477F65"/>
    <w:rsid w:val="004A177D"/>
    <w:rsid w:val="004C13E4"/>
    <w:rsid w:val="004F3212"/>
    <w:rsid w:val="0052200A"/>
    <w:rsid w:val="005322D2"/>
    <w:rsid w:val="00571F4F"/>
    <w:rsid w:val="005805AF"/>
    <w:rsid w:val="00595ED0"/>
    <w:rsid w:val="005A29FC"/>
    <w:rsid w:val="005A3621"/>
    <w:rsid w:val="005A5E4C"/>
    <w:rsid w:val="005D5A97"/>
    <w:rsid w:val="0060358B"/>
    <w:rsid w:val="00644467"/>
    <w:rsid w:val="00670652"/>
    <w:rsid w:val="006B50B8"/>
    <w:rsid w:val="006D7C82"/>
    <w:rsid w:val="007032C5"/>
    <w:rsid w:val="00745783"/>
    <w:rsid w:val="007459B2"/>
    <w:rsid w:val="00746EA3"/>
    <w:rsid w:val="007568F6"/>
    <w:rsid w:val="00772300"/>
    <w:rsid w:val="0078192A"/>
    <w:rsid w:val="007847A5"/>
    <w:rsid w:val="007F1407"/>
    <w:rsid w:val="00825FD1"/>
    <w:rsid w:val="00833A79"/>
    <w:rsid w:val="00852C99"/>
    <w:rsid w:val="0086247E"/>
    <w:rsid w:val="008C4981"/>
    <w:rsid w:val="008D1C53"/>
    <w:rsid w:val="008D2101"/>
    <w:rsid w:val="008F3546"/>
    <w:rsid w:val="009025C1"/>
    <w:rsid w:val="00907083"/>
    <w:rsid w:val="00937F7F"/>
    <w:rsid w:val="00954626"/>
    <w:rsid w:val="00971BF7"/>
    <w:rsid w:val="00974BC5"/>
    <w:rsid w:val="0099409A"/>
    <w:rsid w:val="00A024AB"/>
    <w:rsid w:val="00A14B54"/>
    <w:rsid w:val="00A16BB7"/>
    <w:rsid w:val="00A171B0"/>
    <w:rsid w:val="00A33989"/>
    <w:rsid w:val="00A73C03"/>
    <w:rsid w:val="00A95421"/>
    <w:rsid w:val="00AD576A"/>
    <w:rsid w:val="00AE2B93"/>
    <w:rsid w:val="00AE5FDB"/>
    <w:rsid w:val="00B06A69"/>
    <w:rsid w:val="00B14915"/>
    <w:rsid w:val="00C1258E"/>
    <w:rsid w:val="00C31F05"/>
    <w:rsid w:val="00C47139"/>
    <w:rsid w:val="00C52A0A"/>
    <w:rsid w:val="00C54C31"/>
    <w:rsid w:val="00CE6474"/>
    <w:rsid w:val="00D126F2"/>
    <w:rsid w:val="00D263AC"/>
    <w:rsid w:val="00D3565B"/>
    <w:rsid w:val="00D97B46"/>
    <w:rsid w:val="00DB170D"/>
    <w:rsid w:val="00DD7A85"/>
    <w:rsid w:val="00E003B5"/>
    <w:rsid w:val="00E17B66"/>
    <w:rsid w:val="00E2405E"/>
    <w:rsid w:val="00E50FE8"/>
    <w:rsid w:val="00EA0254"/>
    <w:rsid w:val="00EB13E8"/>
    <w:rsid w:val="00EF7E04"/>
    <w:rsid w:val="00F10BEC"/>
    <w:rsid w:val="00F42C2A"/>
    <w:rsid w:val="00F43E85"/>
    <w:rsid w:val="00F7584F"/>
    <w:rsid w:val="00FC17E1"/>
    <w:rsid w:val="00FD077A"/>
    <w:rsid w:val="00FE4EC5"/>
    <w:rsid w:val="2B400742"/>
    <w:rsid w:val="393D2C30"/>
    <w:rsid w:val="6CFF1553"/>
    <w:rsid w:val="748D7C5D"/>
    <w:rsid w:val="7C2725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7E2C3"/>
  <w15:docId w15:val="{F5B580DA-0381-48D6-9F64-F08068D5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rPr>
      <w:rFonts w:ascii="Cambria" w:eastAsia="黑体" w:hAnsi="Cambria" w:cs="Times New Roman"/>
      <w:b/>
      <w:bCs/>
      <w:kern w:val="0"/>
      <w:sz w:val="36"/>
      <w:szCs w:val="32"/>
    </w:rPr>
  </w:style>
  <w:style w:type="character" w:customStyle="1" w:styleId="a4">
    <w:name w:val="批注框文本 字符"/>
    <w:basedOn w:val="a0"/>
    <w:link w:val="a3"/>
    <w:uiPriority w:val="99"/>
    <w:semiHidden/>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收入预算</c:v>
                </c:pt>
              </c:strCache>
            </c:strRef>
          </c:tx>
          <c:dPt>
            <c:idx val="0"/>
            <c:bubble3D val="0"/>
            <c:extLst>
              <c:ext xmlns:c16="http://schemas.microsoft.com/office/drawing/2014/chart" uri="{C3380CC4-5D6E-409C-BE32-E72D297353CC}">
                <c16:uniqueId val="{00000000-FACF-4569-85BE-5BC8C353D6F8}"/>
              </c:ext>
            </c:extLst>
          </c:dPt>
          <c:dPt>
            <c:idx val="1"/>
            <c:bubble3D val="0"/>
            <c:extLst>
              <c:ext xmlns:c16="http://schemas.microsoft.com/office/drawing/2014/chart" uri="{C3380CC4-5D6E-409C-BE32-E72D297353CC}">
                <c16:uniqueId val="{00000001-FACF-4569-85BE-5BC8C353D6F8}"/>
              </c:ext>
            </c:extLst>
          </c:dPt>
          <c:dPt>
            <c:idx val="2"/>
            <c:bubble3D val="0"/>
            <c:extLst>
              <c:ext xmlns:c16="http://schemas.microsoft.com/office/drawing/2014/chart" uri="{C3380CC4-5D6E-409C-BE32-E72D297353CC}">
                <c16:uniqueId val="{00000002-FACF-4569-85BE-5BC8C353D6F8}"/>
              </c:ext>
            </c:extLst>
          </c:dPt>
          <c:dLbls>
            <c:dLbl>
              <c:idx val="0"/>
              <c:tx>
                <c:rich>
                  <a:bodyPr/>
                  <a:lstStyle/>
                  <a:p>
                    <a:r>
                      <a:rPr lang="en-US" altLang="en-US"/>
                      <a:t>93</a:t>
                    </a:r>
                    <a:r>
                      <a:rPr lang="en-US" altLang="zh-CN"/>
                      <a:t>.32</a:t>
                    </a:r>
                    <a:r>
                      <a:rPr lang="en-US" altLang="en-US"/>
                      <a:t>%</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FACF-4569-85BE-5BC8C353D6F8}"/>
                </c:ext>
              </c:extLst>
            </c:dLbl>
            <c:dLbl>
              <c:idx val="1"/>
              <c:layout>
                <c:manualLayout>
                  <c:x val="5.3931856648759997E-3"/>
                  <c:y val="3.0761154855643E-2"/>
                </c:manualLayout>
              </c:layout>
              <c:tx>
                <c:rich>
                  <a:bodyPr/>
                  <a:lstStyle/>
                  <a:p>
                    <a:r>
                      <a:rPr lang="en-US" altLang="en-US"/>
                      <a:t>0</a:t>
                    </a:r>
                    <a:r>
                      <a:rPr lang="en-US" altLang="zh-CN"/>
                      <a:t>.01</a:t>
                    </a:r>
                    <a:r>
                      <a:rPr lang="en-US" altLang="en-US"/>
                      <a:t>%</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FACF-4569-85BE-5BC8C353D6F8}"/>
                </c:ext>
              </c:extLst>
            </c:dLbl>
            <c:dLbl>
              <c:idx val="2"/>
              <c:layout>
                <c:manualLayout>
                  <c:x val="4.6953271028037397E-2"/>
                  <c:y val="0.12665817508105601"/>
                </c:manualLayout>
              </c:layout>
              <c:tx>
                <c:rich>
                  <a:bodyPr/>
                  <a:lstStyle/>
                  <a:p>
                    <a:r>
                      <a:rPr lang="en-US" altLang="zh-CN"/>
                      <a:t>6.67</a:t>
                    </a:r>
                    <a:r>
                      <a:rPr lang="en-US" altLang="en-US"/>
                      <a:t>%</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2-FACF-4569-85BE-5BC8C353D6F8}"/>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Sheet1!$A$2:$A$4</c:f>
              <c:strCache>
                <c:ptCount val="3"/>
                <c:pt idx="0">
                  <c:v>一般公共预算财政拨款收入</c:v>
                </c:pt>
                <c:pt idx="1">
                  <c:v>其他收入</c:v>
                </c:pt>
                <c:pt idx="2">
                  <c:v>上年结转结余</c:v>
                </c:pt>
              </c:strCache>
            </c:strRef>
          </c:cat>
          <c:val>
            <c:numRef>
              <c:f>Sheet1!$B$2:$B$4</c:f>
              <c:numCache>
                <c:formatCode>General</c:formatCode>
                <c:ptCount val="3"/>
                <c:pt idx="0">
                  <c:v>1021.26</c:v>
                </c:pt>
                <c:pt idx="1">
                  <c:v>0.12</c:v>
                </c:pt>
                <c:pt idx="2">
                  <c:v>73.040000000000006</c:v>
                </c:pt>
              </c:numCache>
            </c:numRef>
          </c:val>
          <c:extLst>
            <c:ext xmlns:c16="http://schemas.microsoft.com/office/drawing/2014/chart" uri="{C3380CC4-5D6E-409C-BE32-E72D297353CC}">
              <c16:uniqueId val="{00000003-FACF-4569-85BE-5BC8C353D6F8}"/>
            </c:ext>
          </c:extLst>
        </c:ser>
        <c:dLbls>
          <c:showLegendKey val="0"/>
          <c:showVal val="0"/>
          <c:showCatName val="0"/>
          <c:showSerName val="0"/>
          <c:showPercent val="1"/>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基本支出和项目支出情况</c:v>
                </c:pt>
              </c:strCache>
            </c:strRef>
          </c:tx>
          <c:dPt>
            <c:idx val="0"/>
            <c:bubble3D val="0"/>
            <c:extLst>
              <c:ext xmlns:c16="http://schemas.microsoft.com/office/drawing/2014/chart" uri="{C3380CC4-5D6E-409C-BE32-E72D297353CC}">
                <c16:uniqueId val="{00000000-2679-413C-8A64-318F5DEFE201}"/>
              </c:ext>
            </c:extLst>
          </c:dPt>
          <c:dPt>
            <c:idx val="1"/>
            <c:bubble3D val="0"/>
            <c:extLst>
              <c:ext xmlns:c16="http://schemas.microsoft.com/office/drawing/2014/chart" uri="{C3380CC4-5D6E-409C-BE32-E72D297353CC}">
                <c16:uniqueId val="{00000001-2679-413C-8A64-318F5DEFE201}"/>
              </c:ext>
            </c:extLst>
          </c:dPt>
          <c:dLbls>
            <c:dLbl>
              <c:idx val="0"/>
              <c:tx>
                <c:rich>
                  <a:bodyPr/>
                  <a:lstStyle/>
                  <a:p>
                    <a:r>
                      <a:rPr lang="en-US" altLang="en-US"/>
                      <a:t>85</a:t>
                    </a:r>
                    <a:r>
                      <a:rPr lang="zh-CN" altLang="en-US"/>
                      <a:t>。</a:t>
                    </a:r>
                    <a:r>
                      <a:rPr lang="en-US" altLang="zh-CN"/>
                      <a:t>46</a:t>
                    </a:r>
                    <a:r>
                      <a:rPr lang="en-US" altLang="en-US"/>
                      <a:t>%</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2679-413C-8A64-318F5DEFE201}"/>
                </c:ext>
              </c:extLst>
            </c:dLbl>
            <c:dLbl>
              <c:idx val="1"/>
              <c:tx>
                <c:rich>
                  <a:bodyPr/>
                  <a:lstStyle/>
                  <a:p>
                    <a:r>
                      <a:rPr lang="en-US" altLang="en-US"/>
                      <a:t>1</a:t>
                    </a:r>
                    <a:r>
                      <a:rPr lang="en-US" altLang="zh-CN"/>
                      <a:t>4.54</a:t>
                    </a:r>
                    <a:r>
                      <a:rPr lang="en-US" altLang="en-US"/>
                      <a:t>%</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2679-413C-8A64-318F5DEFE201}"/>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935.32999999999902</c:v>
                </c:pt>
                <c:pt idx="1">
                  <c:v>159.09</c:v>
                </c:pt>
              </c:numCache>
            </c:numRef>
          </c:val>
          <c:extLst>
            <c:ext xmlns:c16="http://schemas.microsoft.com/office/drawing/2014/chart" uri="{C3380CC4-5D6E-409C-BE32-E72D297353CC}">
              <c16:uniqueId val="{00000002-2679-413C-8A64-318F5DEFE201}"/>
            </c:ext>
          </c:extLst>
        </c:ser>
        <c:dLbls>
          <c:showLegendKey val="0"/>
          <c:showVal val="0"/>
          <c:showCatName val="0"/>
          <c:showSerName val="0"/>
          <c:showPercent val="1"/>
          <c:showBubbleSize val="0"/>
          <c:showLeaderLines val="1"/>
        </c:dLbls>
        <c:firstSliceAng val="0"/>
      </c:pieChart>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387</Words>
  <Characters>2207</Characters>
  <Application>Microsoft Office Word</Application>
  <DocSecurity>0</DocSecurity>
  <Lines>18</Lines>
  <Paragraphs>5</Paragraphs>
  <ScaleCrop>false</ScaleCrop>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86</cp:revision>
  <cp:lastPrinted>2023-02-23T02:52:00Z</cp:lastPrinted>
  <dcterms:created xsi:type="dcterms:W3CDTF">2023-02-15T02:41:00Z</dcterms:created>
  <dcterms:modified xsi:type="dcterms:W3CDTF">2023-03-08T02:42:00Z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5F1A20997DA1400BB99AC8E6B94CF0E3</vt:lpwstr>
  </property>
</Properties>
</file>