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59C43" w14:textId="77777777" w:rsidR="006E436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北京教育考试院2023年财政预算信息公开</w:t>
      </w:r>
    </w:p>
    <w:p w14:paraId="1288743C" w14:textId="77777777" w:rsidR="006E4369" w:rsidRDefault="006E4369">
      <w:pPr>
        <w:spacing w:line="240" w:lineRule="exact"/>
        <w:jc w:val="center"/>
        <w:rPr>
          <w:rFonts w:ascii="方正小标宋简体" w:eastAsia="方正小标宋简体"/>
          <w:color w:val="000000"/>
          <w:sz w:val="32"/>
          <w:szCs w:val="32"/>
        </w:rPr>
      </w:pPr>
    </w:p>
    <w:p w14:paraId="17DFD6A0" w14:textId="77777777" w:rsidR="006E436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1396DC7" w14:textId="77777777" w:rsidR="006E4369" w:rsidRDefault="006E4369">
      <w:pPr>
        <w:spacing w:line="240" w:lineRule="exact"/>
        <w:jc w:val="center"/>
        <w:rPr>
          <w:rFonts w:ascii="方正小标宋简体" w:eastAsia="方正小标宋简体"/>
          <w:color w:val="000000"/>
          <w:sz w:val="32"/>
          <w:szCs w:val="32"/>
        </w:rPr>
      </w:pPr>
    </w:p>
    <w:p w14:paraId="133520DF" w14:textId="77777777" w:rsidR="006E436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783AB99D"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14:paraId="7FEFC6FC"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2CB1BF63"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3A080CF6"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61E60498"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504B2325"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D9019CE" w14:textId="77777777" w:rsidR="006E436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4C3AEC18"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0B804317"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529A922F" w14:textId="77777777" w:rsidR="006E436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0EE70432" w14:textId="77777777" w:rsidR="006E436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F98B3F3" w14:textId="77777777" w:rsidR="006E436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303C5D8D"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16DDAFC2"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51AC6E88" w14:textId="77777777" w:rsidR="006E436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F193511"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6515A8F6"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0AFFD2C4" w14:textId="77777777" w:rsidR="006E436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345642D" w14:textId="77777777" w:rsidR="006E4369"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6820C3F3" w14:textId="77777777" w:rsidR="006E436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14:paraId="3C294F47" w14:textId="77777777" w:rsidR="006E436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2023年度单位预算情况说明</w:t>
      </w:r>
    </w:p>
    <w:p w14:paraId="17D31BA8" w14:textId="77777777" w:rsidR="006E4369" w:rsidRDefault="006E4369">
      <w:pPr>
        <w:spacing w:line="560" w:lineRule="exact"/>
        <w:rPr>
          <w:rFonts w:ascii="黑体" w:eastAsia="黑体" w:hAnsi="黑体"/>
          <w:color w:val="000000"/>
          <w:sz w:val="36"/>
          <w:szCs w:val="36"/>
        </w:rPr>
      </w:pPr>
    </w:p>
    <w:p w14:paraId="18D8ACBD" w14:textId="77777777" w:rsidR="006E4369" w:rsidRDefault="00000000">
      <w:pPr>
        <w:spacing w:line="560" w:lineRule="exact"/>
        <w:ind w:firstLineChars="200" w:firstLine="720"/>
        <w:rPr>
          <w:rFonts w:ascii="黑体" w:eastAsia="黑体" w:hAnsi="黑体"/>
          <w:color w:val="000000"/>
          <w:sz w:val="36"/>
          <w:szCs w:val="36"/>
        </w:rPr>
      </w:pPr>
      <w:r>
        <w:rPr>
          <w:rFonts w:ascii="黑体" w:eastAsia="黑体" w:hAnsi="黑体" w:hint="eastAsia"/>
          <w:color w:val="000000"/>
          <w:sz w:val="36"/>
          <w:szCs w:val="36"/>
        </w:rPr>
        <w:t>一、</w:t>
      </w:r>
      <w:r>
        <w:rPr>
          <w:rFonts w:ascii="黑体" w:eastAsia="黑体" w:hAnsi="黑体" w:hint="eastAsia"/>
          <w:color w:val="000000"/>
          <w:sz w:val="32"/>
          <w:szCs w:val="32"/>
        </w:rPr>
        <w:t>单位情况说明</w:t>
      </w:r>
    </w:p>
    <w:p w14:paraId="4B6784AF"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（一）单位性质及职责</w:t>
      </w:r>
    </w:p>
    <w:p w14:paraId="5D5A05FD" w14:textId="72A09D0E" w:rsidR="006E4369" w:rsidRDefault="00000000">
      <w:pPr>
        <w:spacing w:line="560" w:lineRule="exact"/>
        <w:ind w:firstLineChars="200" w:firstLine="640"/>
        <w:rPr>
          <w:rFonts w:ascii="仿宋" w:eastAsia="仿宋" w:hAnsi="仿宋" w:cs="仿宋"/>
          <w:bCs/>
          <w:sz w:val="32"/>
          <w:szCs w:val="32"/>
        </w:rPr>
      </w:pPr>
      <w:r>
        <w:rPr>
          <w:rFonts w:ascii="仿宋" w:eastAsia="仿宋" w:hAnsi="仿宋" w:cs="仿宋" w:hint="eastAsia"/>
          <w:sz w:val="32"/>
          <w:szCs w:val="32"/>
        </w:rPr>
        <w:t>北京教育考试院为财政补助的公益一类事业单位。主要职责是组织教育考试、招生、促进教育发展。负责北京地区的高级中等学校考试招生、普通高等学校考试招生、成人高等学校考试招生、高等教育自学考试及面向社会的非学历等级证书考试的管理和研究工作。负责管理和承办北京地区中外合作教育考试。负责教育考试命题、研究与评价服务。</w:t>
      </w:r>
    </w:p>
    <w:p w14:paraId="61A4A1A3"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03D9C52F" w14:textId="72BA1EEF" w:rsidR="006E4369" w:rsidRDefault="00000000">
      <w:pPr>
        <w:topLinePunct/>
        <w:autoSpaceDE w:val="0"/>
        <w:adjustRightInd w:val="0"/>
        <w:snapToGrid w:val="0"/>
        <w:spacing w:line="560" w:lineRule="exact"/>
        <w:ind w:firstLineChars="200" w:firstLine="640"/>
        <w:rPr>
          <w:rFonts w:ascii="仿宋_GB2312" w:eastAsia="仿宋_GB2312"/>
          <w:sz w:val="32"/>
          <w:szCs w:val="32"/>
        </w:rPr>
      </w:pPr>
      <w:r>
        <w:rPr>
          <w:rFonts w:ascii="仿宋" w:eastAsia="仿宋" w:hAnsi="仿宋" w:cs="仿宋" w:hint="eastAsia"/>
          <w:sz w:val="32"/>
          <w:szCs w:val="32"/>
        </w:rPr>
        <w:t>北京教育考试院下设16个处室。分别为：</w:t>
      </w:r>
      <w:r>
        <w:rPr>
          <w:rFonts w:ascii="仿宋_GB2312" w:eastAsia="仿宋_GB2312" w:hint="eastAsia"/>
          <w:sz w:val="32"/>
          <w:szCs w:val="32"/>
        </w:rPr>
        <w:t>党政办公室（挂牌：新闻宣传办公室、巡察工作办公室）、人事处、党群工作处（挂牌：工会）、行政财务处（挂牌：安全保卫处）、纪律检查委员会（驻院监察专员办）办公室、科研与评价处（挂牌：北京教育考试评价研究中心）、考务处、信息化处、命题一处、命题二处、</w:t>
      </w:r>
      <w:r>
        <w:rPr>
          <w:rFonts w:ascii="仿宋_GB2312" w:eastAsia="仿宋_GB2312" w:hAnsi="仿宋_GB2312" w:cs="仿宋_GB2312" w:hint="eastAsia"/>
          <w:bCs/>
          <w:sz w:val="32"/>
          <w:szCs w:val="32"/>
        </w:rPr>
        <w:t>中等学校招生办公室</w:t>
      </w:r>
      <w:r>
        <w:rPr>
          <w:rFonts w:ascii="仿宋_GB2312" w:eastAsia="仿宋_GB2312" w:hint="eastAsia"/>
          <w:sz w:val="32"/>
          <w:szCs w:val="32"/>
        </w:rPr>
        <w:t>、</w:t>
      </w:r>
      <w:r>
        <w:rPr>
          <w:rFonts w:ascii="仿宋_GB2312" w:eastAsia="仿宋_GB2312" w:hint="eastAsia"/>
          <w:bCs/>
          <w:sz w:val="32"/>
          <w:szCs w:val="32"/>
        </w:rPr>
        <w:t>高等学校招生办公室、</w:t>
      </w:r>
      <w:r>
        <w:rPr>
          <w:rFonts w:ascii="仿宋_GB2312" w:eastAsia="仿宋_GB2312" w:hint="eastAsia"/>
          <w:sz w:val="32"/>
          <w:szCs w:val="32"/>
        </w:rPr>
        <w:t>研究生招生办公室、成人教育招生办公室、高等教育自学考试办公室、社会考试办公室。</w:t>
      </w:r>
    </w:p>
    <w:p w14:paraId="546E3CD1" w14:textId="77777777" w:rsidR="006E4369" w:rsidRDefault="00000000">
      <w:pPr>
        <w:topLinePunct/>
        <w:autoSpaceDE w:val="0"/>
        <w:adjustRightInd w:val="0"/>
        <w:snapToGrid w:val="0"/>
        <w:spacing w:line="560" w:lineRule="exact"/>
        <w:ind w:firstLineChars="200" w:firstLine="640"/>
        <w:rPr>
          <w:rFonts w:ascii="仿宋_GB2312" w:eastAsia="仿宋_GB2312"/>
          <w:sz w:val="32"/>
          <w:szCs w:val="32"/>
        </w:rPr>
      </w:pPr>
      <w:r>
        <w:rPr>
          <w:rFonts w:ascii="仿宋_GB2312" w:eastAsia="仿宋_GB2312" w:hint="eastAsia"/>
          <w:bCs/>
          <w:sz w:val="32"/>
        </w:rPr>
        <w:t>北京教育考试院包括1个预算单位，即北京教育考试院（本级）。</w:t>
      </w:r>
    </w:p>
    <w:p w14:paraId="2420063A"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7B9BB2E9" w14:textId="2245A33D" w:rsidR="006E4369" w:rsidRDefault="0086779A">
      <w:pPr>
        <w:spacing w:line="560" w:lineRule="exact"/>
        <w:ind w:firstLineChars="200" w:firstLine="640"/>
        <w:rPr>
          <w:rFonts w:ascii="仿宋" w:eastAsia="仿宋" w:hAnsi="仿宋" w:cs="仿宋"/>
          <w:color w:val="000000"/>
          <w:sz w:val="32"/>
          <w:szCs w:val="32"/>
        </w:rPr>
      </w:pPr>
      <w:r w:rsidRPr="0086779A">
        <w:rPr>
          <w:rFonts w:ascii="仿宋" w:eastAsia="仿宋" w:hAnsi="仿宋" w:cs="仿宋" w:hint="eastAsia"/>
          <w:color w:val="000000"/>
          <w:sz w:val="32"/>
          <w:szCs w:val="32"/>
        </w:rPr>
        <w:t>北京教育考试院行政编制0人，实有人数0人；</w:t>
      </w:r>
      <w:r>
        <w:rPr>
          <w:rFonts w:ascii="仿宋" w:eastAsia="仿宋" w:hAnsi="仿宋" w:cs="仿宋" w:hint="eastAsia"/>
          <w:color w:val="000000"/>
          <w:sz w:val="32"/>
          <w:szCs w:val="32"/>
        </w:rPr>
        <w:t>事业编制1</w:t>
      </w:r>
      <w:r>
        <w:rPr>
          <w:rFonts w:ascii="仿宋" w:eastAsia="仿宋" w:hAnsi="仿宋" w:cs="仿宋"/>
          <w:color w:val="000000"/>
          <w:sz w:val="32"/>
          <w:szCs w:val="32"/>
        </w:rPr>
        <w:t>8</w:t>
      </w:r>
      <w:r>
        <w:rPr>
          <w:rFonts w:ascii="仿宋" w:eastAsia="仿宋" w:hAnsi="仿宋" w:cs="仿宋" w:hint="eastAsia"/>
          <w:color w:val="000000"/>
          <w:sz w:val="32"/>
          <w:szCs w:val="32"/>
        </w:rPr>
        <w:t>4人，实</w:t>
      </w:r>
      <w:r w:rsidR="001A50F1">
        <w:rPr>
          <w:rFonts w:ascii="仿宋" w:eastAsia="仿宋" w:hAnsi="仿宋" w:cs="仿宋" w:hint="eastAsia"/>
          <w:color w:val="000000"/>
          <w:sz w:val="32"/>
          <w:szCs w:val="32"/>
        </w:rPr>
        <w:t>有</w:t>
      </w:r>
      <w:r>
        <w:rPr>
          <w:rFonts w:ascii="仿宋" w:eastAsia="仿宋" w:hAnsi="仿宋" w:cs="仿宋" w:hint="eastAsia"/>
          <w:color w:val="000000"/>
          <w:sz w:val="32"/>
          <w:szCs w:val="32"/>
        </w:rPr>
        <w:t>人数</w:t>
      </w:r>
      <w:r>
        <w:rPr>
          <w:rFonts w:ascii="仿宋" w:eastAsia="仿宋" w:hAnsi="仿宋" w:cs="仿宋"/>
          <w:color w:val="000000"/>
          <w:sz w:val="32"/>
          <w:szCs w:val="32"/>
        </w:rPr>
        <w:t>16</w:t>
      </w:r>
      <w:r>
        <w:rPr>
          <w:rFonts w:ascii="仿宋" w:eastAsia="仿宋" w:hAnsi="仿宋" w:cs="仿宋" w:hint="eastAsia"/>
          <w:color w:val="000000"/>
          <w:sz w:val="32"/>
          <w:szCs w:val="32"/>
        </w:rPr>
        <w:t>4人；</w:t>
      </w:r>
      <w:r w:rsidR="00AA0C74">
        <w:rPr>
          <w:rFonts w:ascii="仿宋" w:eastAsia="仿宋" w:hAnsi="仿宋" w:cs="仿宋" w:hint="eastAsia"/>
          <w:color w:val="000000"/>
          <w:sz w:val="32"/>
          <w:szCs w:val="32"/>
        </w:rPr>
        <w:t>离休人员0</w:t>
      </w:r>
      <w:r w:rsidR="000A4356">
        <w:rPr>
          <w:rFonts w:ascii="仿宋" w:eastAsia="仿宋" w:hAnsi="仿宋" w:cs="仿宋" w:hint="eastAsia"/>
          <w:color w:val="000000"/>
          <w:sz w:val="32"/>
          <w:szCs w:val="32"/>
        </w:rPr>
        <w:t>人</w:t>
      </w:r>
      <w:r w:rsidR="00B40672">
        <w:rPr>
          <w:rFonts w:ascii="仿宋" w:eastAsia="仿宋" w:hAnsi="仿宋" w:cs="仿宋" w:hint="eastAsia"/>
          <w:color w:val="000000"/>
          <w:sz w:val="32"/>
          <w:szCs w:val="32"/>
        </w:rPr>
        <w:t>，</w:t>
      </w:r>
      <w:r>
        <w:rPr>
          <w:rFonts w:ascii="仿宋" w:eastAsia="仿宋" w:hAnsi="仿宋" w:cs="仿宋" w:hint="eastAsia"/>
          <w:color w:val="000000"/>
          <w:sz w:val="32"/>
          <w:szCs w:val="32"/>
        </w:rPr>
        <w:t>退休人员128</w:t>
      </w:r>
      <w:r>
        <w:rPr>
          <w:rFonts w:ascii="仿宋" w:eastAsia="仿宋" w:hAnsi="仿宋" w:cs="仿宋" w:hint="eastAsia"/>
          <w:color w:val="000000"/>
          <w:sz w:val="32"/>
          <w:szCs w:val="32"/>
        </w:rPr>
        <w:lastRenderedPageBreak/>
        <w:t>人</w:t>
      </w:r>
      <w:r w:rsidR="00AA0C74">
        <w:rPr>
          <w:rFonts w:ascii="仿宋" w:eastAsia="仿宋" w:hAnsi="仿宋" w:cs="仿宋" w:hint="eastAsia"/>
          <w:color w:val="000000"/>
          <w:sz w:val="32"/>
          <w:szCs w:val="32"/>
        </w:rPr>
        <w:t>；其他人员无。</w:t>
      </w:r>
    </w:p>
    <w:p w14:paraId="1F2B9EAA"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黑体" w:eastAsia="黑体" w:hAnsi="黑体" w:hint="eastAsia"/>
          <w:color w:val="000000"/>
          <w:sz w:val="32"/>
          <w:szCs w:val="32"/>
        </w:rPr>
        <w:t>二、收入预算情况说明</w:t>
      </w:r>
    </w:p>
    <w:p w14:paraId="6772A9B6" w14:textId="5AB5A358" w:rsidR="006E4369" w:rsidRDefault="00000000">
      <w:pPr>
        <w:widowControl/>
        <w:spacing w:line="560" w:lineRule="exact"/>
        <w:ind w:firstLineChars="200" w:firstLine="640"/>
        <w:rPr>
          <w:rFonts w:ascii="仿宋_GB2312" w:eastAsia="仿宋"/>
          <w:color w:val="000000"/>
          <w:sz w:val="32"/>
          <w:szCs w:val="32"/>
        </w:rPr>
      </w:pPr>
      <w:r>
        <w:rPr>
          <w:rFonts w:ascii="仿宋" w:eastAsia="仿宋" w:hAnsi="仿宋" w:cs="仿宋" w:hint="eastAsia"/>
          <w:color w:val="000000"/>
          <w:sz w:val="32"/>
          <w:szCs w:val="32"/>
        </w:rPr>
        <w:t>2023年收入预算</w:t>
      </w:r>
      <w:r>
        <w:rPr>
          <w:rFonts w:ascii="仿宋" w:eastAsia="仿宋" w:hAnsi="仿宋" w:cs="仿宋"/>
          <w:color w:val="000000"/>
          <w:sz w:val="32"/>
          <w:szCs w:val="32"/>
        </w:rPr>
        <w:t>27278.6</w:t>
      </w:r>
      <w:r>
        <w:rPr>
          <w:rFonts w:ascii="仿宋" w:eastAsia="仿宋" w:hAnsi="仿宋" w:cs="仿宋" w:hint="eastAsia"/>
          <w:color w:val="000000"/>
          <w:sz w:val="32"/>
          <w:szCs w:val="32"/>
        </w:rPr>
        <w:t>1万元，比2022年</w:t>
      </w:r>
      <w:r>
        <w:rPr>
          <w:rFonts w:ascii="仿宋_GB2312" w:eastAsia="仿宋_GB2312" w:hint="eastAsia"/>
          <w:color w:val="000000"/>
          <w:sz w:val="32"/>
          <w:szCs w:val="32"/>
        </w:rPr>
        <w:t>年初预算数</w:t>
      </w:r>
      <w:r>
        <w:rPr>
          <w:rFonts w:ascii="仿宋" w:eastAsia="仿宋" w:hAnsi="仿宋" w:cs="仿宋" w:hint="eastAsia"/>
          <w:color w:val="000000"/>
          <w:sz w:val="32"/>
          <w:szCs w:val="32"/>
        </w:rPr>
        <w:t>20632.40万元增加6646.21万元，增长32.21%。主要原因是</w:t>
      </w:r>
      <w:r w:rsidR="00BA3A9A">
        <w:rPr>
          <w:rFonts w:ascii="仿宋" w:eastAsia="仿宋" w:hAnsi="仿宋" w:cs="仿宋" w:hint="eastAsia"/>
          <w:color w:val="000000"/>
          <w:sz w:val="32"/>
          <w:szCs w:val="32"/>
        </w:rPr>
        <w:t>根据事业发展需要，调整预算安排</w:t>
      </w:r>
      <w:r>
        <w:rPr>
          <w:rFonts w:ascii="仿宋" w:eastAsia="仿宋" w:hAnsi="仿宋" w:cs="仿宋" w:hint="eastAsia"/>
          <w:color w:val="000000"/>
          <w:sz w:val="32"/>
          <w:szCs w:val="32"/>
        </w:rPr>
        <w:t>。</w:t>
      </w:r>
    </w:p>
    <w:p w14:paraId="34E58FAC"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（一）本年财政拨款收入16397.92万元。</w:t>
      </w:r>
    </w:p>
    <w:p w14:paraId="65C58A2E" w14:textId="77777777" w:rsidR="006E4369" w:rsidRDefault="00000000">
      <w:pPr>
        <w:spacing w:line="560" w:lineRule="exact"/>
        <w:ind w:firstLineChars="200" w:firstLine="640"/>
        <w:rPr>
          <w:rFonts w:ascii="宋体" w:hAnsi="宋体" w:cs="宋体"/>
          <w:b/>
          <w:bCs/>
          <w:color w:val="000000"/>
          <w:kern w:val="0"/>
          <w:sz w:val="18"/>
          <w:szCs w:val="18"/>
        </w:rPr>
      </w:pPr>
      <w:r>
        <w:rPr>
          <w:rFonts w:ascii="仿宋_GB2312" w:eastAsia="仿宋_GB2312" w:hint="eastAsia"/>
          <w:color w:val="000000"/>
          <w:sz w:val="32"/>
          <w:szCs w:val="32"/>
        </w:rPr>
        <w:t>1.一般公共预算拨款收入16397.92万元。</w:t>
      </w:r>
    </w:p>
    <w:p w14:paraId="6652F89A"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2.政府性基金预算拨款收入0万元。</w:t>
      </w:r>
    </w:p>
    <w:p w14:paraId="1818096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3.国有资本性经营预算拨款收入0万元。</w:t>
      </w:r>
    </w:p>
    <w:p w14:paraId="6D2CBB7B"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（二）本年其他资金收入10234.39万元</w:t>
      </w:r>
    </w:p>
    <w:p w14:paraId="68215771"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4.财政专户管理资金收入8868.08万元。</w:t>
      </w:r>
    </w:p>
    <w:p w14:paraId="62246A55"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5.事业收入0万元。</w:t>
      </w:r>
    </w:p>
    <w:p w14:paraId="2A102861"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6.上级补助收入0万元。</w:t>
      </w:r>
    </w:p>
    <w:p w14:paraId="48E9E17C"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7.附属单位上缴收入0万元。</w:t>
      </w:r>
    </w:p>
    <w:p w14:paraId="4F7C407E"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8.事业单位经营收入</w:t>
      </w:r>
      <w:r>
        <w:rPr>
          <w:rFonts w:ascii="仿宋_GB2312" w:eastAsia="仿宋_GB2312"/>
          <w:color w:val="000000"/>
          <w:sz w:val="32"/>
          <w:szCs w:val="32"/>
        </w:rPr>
        <w:t>1361.31</w:t>
      </w:r>
      <w:r>
        <w:rPr>
          <w:rFonts w:ascii="仿宋_GB2312" w:eastAsia="仿宋_GB2312" w:hint="eastAsia"/>
          <w:color w:val="000000"/>
          <w:sz w:val="32"/>
          <w:szCs w:val="32"/>
        </w:rPr>
        <w:t>万元。</w:t>
      </w:r>
    </w:p>
    <w:p w14:paraId="6CC2F19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9.其他收入5万元。</w:t>
      </w:r>
    </w:p>
    <w:p w14:paraId="0DBA590A"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（三）上年结转结余646.30万元</w:t>
      </w:r>
    </w:p>
    <w:p w14:paraId="40F696CB" w14:textId="6C63BFEE"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10.上年结转结余646.30万元。</w:t>
      </w:r>
    </w:p>
    <w:p w14:paraId="718FA518" w14:textId="77777777" w:rsidR="00CF4761" w:rsidRPr="00D86960" w:rsidRDefault="00CF4761" w:rsidP="00CF4761">
      <w:pPr>
        <w:pStyle w:val="2"/>
        <w:jc w:val="center"/>
        <w:rPr>
          <w:rFonts w:ascii="仿宋_GB2312" w:eastAsia="仿宋_GB2312"/>
          <w:b w:val="0"/>
          <w:bCs w:val="0"/>
          <w:sz w:val="32"/>
        </w:rPr>
      </w:pPr>
      <w:r w:rsidRPr="00D86960">
        <w:rPr>
          <w:rFonts w:ascii="仿宋_GB2312" w:eastAsia="仿宋_GB2312" w:hint="eastAsia"/>
          <w:sz w:val="32"/>
        </w:rPr>
        <w:lastRenderedPageBreak/>
        <w:t>图1：收入预算</w:t>
      </w:r>
    </w:p>
    <w:p w14:paraId="4F03D27F" w14:textId="77777777" w:rsidR="006E4369" w:rsidRDefault="00000000" w:rsidP="003B7E1D">
      <w:pPr>
        <w:rPr>
          <w:rFonts w:ascii="仿宋_GB2312" w:eastAsia="仿宋_GB2312" w:hAnsi="仿宋_GB2312" w:cs="仿宋_GB2312"/>
          <w:color w:val="000000"/>
          <w:sz w:val="32"/>
          <w:szCs w:val="32"/>
        </w:rPr>
      </w:pPr>
      <w:r>
        <w:rPr>
          <w:rFonts w:ascii="仿宋_GB2312" w:eastAsia="仿宋_GB2312" w:hAnsi="仿宋_GB2312" w:cs="仿宋_GB2312"/>
          <w:noProof/>
          <w:color w:val="000000"/>
          <w:sz w:val="32"/>
          <w:szCs w:val="32"/>
        </w:rPr>
        <w:drawing>
          <wp:inline distT="0" distB="0" distL="0" distR="0" wp14:anchorId="6ACAA35D" wp14:editId="56640EFC">
            <wp:extent cx="5274310" cy="3076575"/>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0AF296D" w14:textId="77777777" w:rsidR="006E4369" w:rsidRDefault="000000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三、支出预算情况说明</w:t>
      </w:r>
    </w:p>
    <w:p w14:paraId="55E0B058" w14:textId="77777777" w:rsidR="0041226F" w:rsidRDefault="00000000" w:rsidP="0041226F">
      <w:pPr>
        <w:widowControl/>
        <w:spacing w:line="560" w:lineRule="exact"/>
        <w:ind w:firstLineChars="200" w:firstLine="640"/>
        <w:rPr>
          <w:rFonts w:ascii="仿宋_GB2312" w:eastAsia="仿宋"/>
          <w:color w:val="000000"/>
          <w:sz w:val="32"/>
          <w:szCs w:val="32"/>
        </w:rPr>
      </w:pPr>
      <w:r>
        <w:rPr>
          <w:rFonts w:ascii="仿宋_GB2312" w:eastAsia="仿宋_GB2312" w:hint="eastAsia"/>
          <w:color w:val="000000"/>
          <w:sz w:val="32"/>
          <w:szCs w:val="32"/>
        </w:rPr>
        <w:t>2023年支出预算</w:t>
      </w:r>
      <w:r>
        <w:rPr>
          <w:rFonts w:ascii="仿宋_GB2312" w:eastAsia="仿宋_GB2312"/>
          <w:color w:val="000000"/>
          <w:sz w:val="32"/>
          <w:szCs w:val="32"/>
        </w:rPr>
        <w:t>27278.6</w:t>
      </w:r>
      <w:r>
        <w:rPr>
          <w:rFonts w:ascii="仿宋_GB2312" w:eastAsia="仿宋_GB2312" w:hint="eastAsia"/>
          <w:color w:val="000000"/>
          <w:sz w:val="32"/>
          <w:szCs w:val="32"/>
        </w:rPr>
        <w:t>1万元，比2022年年初预算数20632.40万元增加6646.21万元，增长32.21%。</w:t>
      </w:r>
      <w:r w:rsidR="0041226F">
        <w:rPr>
          <w:rFonts w:ascii="仿宋" w:eastAsia="仿宋" w:hAnsi="仿宋" w:cs="仿宋" w:hint="eastAsia"/>
          <w:color w:val="000000"/>
          <w:sz w:val="32"/>
          <w:szCs w:val="32"/>
        </w:rPr>
        <w:t>主要原因是根据事业发展需要，调整预算安排。</w:t>
      </w:r>
    </w:p>
    <w:p w14:paraId="1F0195E2" w14:textId="27DA0C8B" w:rsidR="006E4369" w:rsidRDefault="00000000" w:rsidP="0041226F">
      <w:pPr>
        <w:widowControl/>
        <w:spacing w:line="560" w:lineRule="exact"/>
        <w:ind w:firstLineChars="200" w:firstLine="640"/>
        <w:rPr>
          <w:rFonts w:ascii="仿宋_GB2312" w:eastAsia="仿宋_GB2312"/>
          <w:color w:val="000000"/>
          <w:sz w:val="32"/>
          <w:szCs w:val="32"/>
        </w:rPr>
      </w:pPr>
      <w:r>
        <w:rPr>
          <w:rFonts w:ascii="楷体_GB2312" w:eastAsia="楷体_GB2312" w:hAnsi="仿宋_GB2312" w:cs="仿宋_GB2312" w:hint="eastAsia"/>
          <w:color w:val="000000"/>
          <w:sz w:val="32"/>
          <w:szCs w:val="32"/>
        </w:rPr>
        <w:t>（一）</w:t>
      </w:r>
      <w:r>
        <w:rPr>
          <w:rFonts w:ascii="楷体_GB2312" w:eastAsia="楷体_GB2312" w:hint="eastAsia"/>
          <w:color w:val="000000"/>
          <w:sz w:val="32"/>
          <w:szCs w:val="32"/>
        </w:rPr>
        <w:t>基本支出。</w:t>
      </w:r>
      <w:r>
        <w:rPr>
          <w:rFonts w:ascii="仿宋_GB2312" w:eastAsia="仿宋_GB2312" w:hint="eastAsia"/>
          <w:color w:val="000000"/>
          <w:sz w:val="32"/>
          <w:szCs w:val="32"/>
        </w:rPr>
        <w:t>基本支出预算23791.16万元，占总支出预算87.22%，比2022年年初预算数17474.29万元，增加6316.87万元，增长36.15%。</w:t>
      </w:r>
    </w:p>
    <w:p w14:paraId="1ADFC097" w14:textId="11C9C972" w:rsidR="006E4369" w:rsidRDefault="00000000">
      <w:pPr>
        <w:spacing w:line="560" w:lineRule="exact"/>
        <w:ind w:firstLineChars="200" w:firstLine="640"/>
        <w:rPr>
          <w:rFonts w:ascii="仿宋" w:eastAsia="仿宋" w:hAnsi="仿宋" w:cs="仿宋"/>
          <w:sz w:val="32"/>
          <w:szCs w:val="32"/>
        </w:rPr>
      </w:pPr>
      <w:r>
        <w:rPr>
          <w:rFonts w:ascii="楷体_GB2312" w:eastAsia="楷体_GB2312" w:hAnsi="仿宋_GB2312" w:cs="仿宋_GB2312" w:hint="eastAsia"/>
          <w:color w:val="000000"/>
          <w:sz w:val="32"/>
          <w:szCs w:val="32"/>
        </w:rPr>
        <w:t>（二）项目支出。</w:t>
      </w:r>
      <w:r>
        <w:rPr>
          <w:rFonts w:ascii="仿宋_GB2312" w:eastAsia="仿宋_GB2312" w:hint="eastAsia"/>
          <w:color w:val="000000"/>
          <w:sz w:val="32"/>
          <w:szCs w:val="32"/>
        </w:rPr>
        <w:t>项目支出预算3487.45万元，比2022年年初预算数3158.11万元，增加329.34万元，增长10.43%。</w:t>
      </w:r>
      <w:r>
        <w:rPr>
          <w:rFonts w:ascii="仿宋_GB2312" w:eastAsia="仿宋_GB2312" w:hint="eastAsia"/>
          <w:sz w:val="32"/>
          <w:szCs w:val="32"/>
        </w:rPr>
        <w:t>其中：</w:t>
      </w:r>
    </w:p>
    <w:p w14:paraId="14EC314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14:paraId="442A60A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14:paraId="28C9EE69" w14:textId="48BB06EB"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14:paraId="2D6FD80A" w14:textId="77777777" w:rsidR="007C4650" w:rsidRPr="00D86960" w:rsidRDefault="007C4650" w:rsidP="007C4650">
      <w:pPr>
        <w:pStyle w:val="2"/>
        <w:ind w:firstLine="642"/>
        <w:jc w:val="center"/>
        <w:rPr>
          <w:rFonts w:ascii="仿宋_GB2312" w:eastAsia="仿宋_GB2312"/>
          <w:sz w:val="32"/>
        </w:rPr>
      </w:pPr>
      <w:r w:rsidRPr="00D86960">
        <w:rPr>
          <w:rFonts w:ascii="仿宋_GB2312" w:eastAsia="仿宋_GB2312" w:hint="eastAsia"/>
          <w:sz w:val="32"/>
        </w:rPr>
        <w:lastRenderedPageBreak/>
        <w:t>图2：基本支出和项目支出情况</w:t>
      </w:r>
    </w:p>
    <w:p w14:paraId="65CBF787" w14:textId="77777777" w:rsidR="006E4369" w:rsidRDefault="00000000">
      <w:pPr>
        <w:pStyle w:val="2"/>
      </w:pPr>
      <w:r>
        <w:rPr>
          <w:noProof/>
        </w:rPr>
        <w:drawing>
          <wp:inline distT="0" distB="0" distL="0" distR="0" wp14:anchorId="0359B013" wp14:editId="2D3597E9">
            <wp:extent cx="5274310" cy="3076575"/>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CE3D786" w14:textId="77777777" w:rsidR="006E4369" w:rsidRDefault="000000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四、财政拨款“三公”经费预算情况说明</w:t>
      </w:r>
    </w:p>
    <w:p w14:paraId="2BD01595" w14:textId="77777777" w:rsidR="006E4369" w:rsidRDefault="00000000">
      <w:pPr>
        <w:spacing w:line="560" w:lineRule="exact"/>
        <w:ind w:firstLineChars="200" w:firstLine="640"/>
        <w:rPr>
          <w:rFonts w:ascii="黑体" w:eastAsia="黑体" w:hAnsi="黑体"/>
          <w:color w:val="000000"/>
          <w:sz w:val="32"/>
          <w:szCs w:val="32"/>
        </w:rPr>
      </w:pPr>
      <w:r>
        <w:rPr>
          <w:rFonts w:ascii="楷体_GB2312" w:eastAsia="楷体_GB2312" w:hint="eastAsia"/>
          <w:color w:val="000000"/>
          <w:sz w:val="32"/>
          <w:szCs w:val="32"/>
        </w:rPr>
        <w:t>（一）“三公”经费的单位范围</w:t>
      </w:r>
    </w:p>
    <w:p w14:paraId="68D8D02A" w14:textId="77777777" w:rsidR="006E4369" w:rsidRDefault="0000000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北京教育考试院因公出国（境）费用、公务接待费、公务用车购置和运行维护费开支单位包括1个单位。其他所属单位2023年无财政拨款安排的“三公”经费预算。</w:t>
      </w:r>
    </w:p>
    <w:p w14:paraId="60B6CFB2"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（二）财政拨款“三公”经费预算情况说明</w:t>
      </w:r>
    </w:p>
    <w:p w14:paraId="604AC3D7" w14:textId="77777777" w:rsidR="006E4369" w:rsidRDefault="00000000">
      <w:pPr>
        <w:spacing w:line="560" w:lineRule="exact"/>
        <w:ind w:firstLineChars="200" w:firstLine="640"/>
        <w:rPr>
          <w:rFonts w:ascii="楷体_GB2312" w:eastAsia="楷体_GB2312"/>
          <w:color w:val="000000"/>
          <w:sz w:val="32"/>
          <w:szCs w:val="32"/>
        </w:rPr>
      </w:pPr>
      <w:r>
        <w:rPr>
          <w:rFonts w:ascii="仿宋" w:eastAsia="仿宋" w:hAnsi="仿宋" w:cs="仿宋" w:hint="eastAsia"/>
          <w:sz w:val="32"/>
          <w:szCs w:val="32"/>
        </w:rPr>
        <w:t>2023年财政拨款</w:t>
      </w:r>
      <w:r>
        <w:rPr>
          <w:rFonts w:ascii="仿宋_GB2312" w:eastAsia="仿宋_GB2312" w:hint="eastAsia"/>
          <w:sz w:val="32"/>
          <w:szCs w:val="32"/>
        </w:rPr>
        <w:t>“三公”经费</w:t>
      </w:r>
      <w:r>
        <w:rPr>
          <w:rFonts w:ascii="仿宋" w:eastAsia="仿宋" w:hAnsi="仿宋" w:cs="仿宋" w:hint="eastAsia"/>
          <w:sz w:val="32"/>
          <w:szCs w:val="32"/>
        </w:rPr>
        <w:t>预算21.90万元,</w:t>
      </w:r>
      <w:r>
        <w:rPr>
          <w:rFonts w:ascii="仿宋_GB2312" w:eastAsia="仿宋_GB2312" w:hint="eastAsia"/>
          <w:color w:val="000000"/>
          <w:sz w:val="32"/>
          <w:szCs w:val="32"/>
        </w:rPr>
        <w:t xml:space="preserve"> 比2022年“三公”经费财政拨款预算减少</w:t>
      </w:r>
      <w:r>
        <w:rPr>
          <w:rFonts w:ascii="仿宋" w:eastAsia="仿宋" w:hAnsi="仿宋" w:cs="仿宋" w:hint="eastAsia"/>
          <w:sz w:val="32"/>
          <w:szCs w:val="32"/>
        </w:rPr>
        <w:t>24.40</w:t>
      </w:r>
      <w:r>
        <w:rPr>
          <w:rFonts w:ascii="仿宋_GB2312" w:eastAsia="仿宋_GB2312" w:hint="eastAsia"/>
          <w:color w:val="000000"/>
          <w:sz w:val="32"/>
          <w:szCs w:val="32"/>
        </w:rPr>
        <w:t>万元</w:t>
      </w:r>
      <w:r>
        <w:rPr>
          <w:rFonts w:ascii="仿宋" w:eastAsia="仿宋" w:hAnsi="仿宋" w:cs="仿宋" w:hint="eastAsia"/>
          <w:sz w:val="32"/>
          <w:szCs w:val="32"/>
        </w:rPr>
        <w:t>。其中：</w:t>
      </w:r>
    </w:p>
    <w:p w14:paraId="2F4809B1" w14:textId="77777777" w:rsidR="006E4369"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1.因公出国（境）费用。2023年预算数0万元，与2022年持平。</w:t>
      </w:r>
    </w:p>
    <w:p w14:paraId="79A88511" w14:textId="77777777" w:rsidR="006E4369" w:rsidRDefault="00000000">
      <w:pPr>
        <w:spacing w:line="560" w:lineRule="exact"/>
        <w:ind w:firstLineChars="200" w:firstLine="640"/>
        <w:rPr>
          <w:rFonts w:ascii="仿宋" w:eastAsia="仿宋" w:hAnsi="仿宋" w:cs="仿宋"/>
          <w:color w:val="FF0000"/>
          <w:sz w:val="32"/>
          <w:szCs w:val="32"/>
        </w:rPr>
      </w:pPr>
      <w:r>
        <w:rPr>
          <w:rFonts w:ascii="仿宋" w:eastAsia="仿宋" w:hAnsi="仿宋" w:cs="仿宋" w:hint="eastAsia"/>
          <w:sz w:val="32"/>
          <w:szCs w:val="32"/>
        </w:rPr>
        <w:t>2</w:t>
      </w:r>
      <w:r>
        <w:rPr>
          <w:rFonts w:ascii="楷体_GB2312" w:eastAsia="楷体_GB2312" w:hint="eastAsia"/>
          <w:color w:val="000000"/>
          <w:sz w:val="32"/>
          <w:szCs w:val="32"/>
        </w:rPr>
        <w:t>.</w:t>
      </w:r>
      <w:r>
        <w:rPr>
          <w:rFonts w:ascii="仿宋" w:eastAsia="仿宋" w:hAnsi="仿宋" w:cs="仿宋" w:hint="eastAsia"/>
          <w:sz w:val="32"/>
          <w:szCs w:val="32"/>
        </w:rPr>
        <w:t>公务接待费。2023年预算数4.40万元，</w:t>
      </w:r>
      <w:r>
        <w:rPr>
          <w:rFonts w:ascii="仿宋_GB2312" w:eastAsia="仿宋_GB2312" w:hint="eastAsia"/>
          <w:color w:val="000000"/>
          <w:sz w:val="32"/>
          <w:szCs w:val="32"/>
        </w:rPr>
        <w:t>比2022年预算数</w:t>
      </w:r>
      <w:r>
        <w:rPr>
          <w:rFonts w:ascii="仿宋" w:eastAsia="仿宋" w:hAnsi="仿宋" w:cs="仿宋"/>
          <w:sz w:val="32"/>
          <w:szCs w:val="32"/>
        </w:rPr>
        <w:t>5.22</w:t>
      </w:r>
      <w:r>
        <w:rPr>
          <w:rFonts w:ascii="仿宋_GB2312" w:eastAsia="仿宋_GB2312" w:hint="eastAsia"/>
          <w:color w:val="000000"/>
          <w:sz w:val="32"/>
          <w:szCs w:val="32"/>
        </w:rPr>
        <w:t>万元减少0.82万元。主要原因：</w:t>
      </w:r>
      <w:r>
        <w:rPr>
          <w:rFonts w:ascii="仿宋" w:eastAsia="仿宋" w:hAnsi="仿宋" w:cs="仿宋" w:hint="eastAsia"/>
          <w:sz w:val="32"/>
          <w:szCs w:val="32"/>
        </w:rPr>
        <w:t>落实政府过“紧日子”的要求，进一步压缩一般性支出。</w:t>
      </w:r>
    </w:p>
    <w:p w14:paraId="5105DF1A" w14:textId="77777777" w:rsidR="006E4369" w:rsidRDefault="00000000">
      <w:pPr>
        <w:spacing w:line="560" w:lineRule="exact"/>
        <w:ind w:firstLineChars="200" w:firstLine="640"/>
        <w:rPr>
          <w:rFonts w:ascii="仿宋_GB2312" w:eastAsia="仿宋_GB2312"/>
          <w:sz w:val="32"/>
          <w:szCs w:val="32"/>
        </w:rPr>
      </w:pPr>
      <w:r>
        <w:rPr>
          <w:rFonts w:ascii="仿宋" w:eastAsia="仿宋" w:hAnsi="仿宋" w:cs="仿宋" w:hint="eastAsia"/>
          <w:sz w:val="32"/>
          <w:szCs w:val="32"/>
        </w:rPr>
        <w:lastRenderedPageBreak/>
        <w:t>3.公务用车购置和运行维护费。2023年预算数17.50万元。</w:t>
      </w:r>
      <w:r>
        <w:rPr>
          <w:rFonts w:ascii="仿宋_GB2312" w:eastAsia="仿宋_GB2312" w:hint="eastAsia"/>
          <w:sz w:val="32"/>
          <w:szCs w:val="32"/>
        </w:rPr>
        <w:t>其中，公务用车购置费2023年预算数0万元，比2022年年初预算数23.58万元减少23.58万元，主要原因：2023年无车辆更新购置计划；公务用车运行维护费2023年预算数17.50万元，其中：</w:t>
      </w:r>
      <w:r>
        <w:rPr>
          <w:rFonts w:ascii="仿宋" w:eastAsia="仿宋" w:hAnsi="仿宋" w:cs="仿宋" w:hint="eastAsia"/>
          <w:sz w:val="32"/>
          <w:szCs w:val="32"/>
        </w:rPr>
        <w:t>公务用车燃油9.28万元，公务用车维修2.98万元，公务用车保险2.98万元，其他支出2.2</w:t>
      </w:r>
      <w:r>
        <w:rPr>
          <w:rFonts w:ascii="仿宋" w:eastAsia="仿宋" w:hAnsi="仿宋" w:cs="仿宋"/>
          <w:sz w:val="32"/>
          <w:szCs w:val="32"/>
        </w:rPr>
        <w:t>6</w:t>
      </w:r>
      <w:r>
        <w:rPr>
          <w:rFonts w:ascii="仿宋" w:eastAsia="仿宋" w:hAnsi="仿宋" w:cs="仿宋" w:hint="eastAsia"/>
          <w:sz w:val="32"/>
          <w:szCs w:val="32"/>
        </w:rPr>
        <w:t>万元，公务用车运行维护费2023年预算数</w:t>
      </w:r>
      <w:r>
        <w:rPr>
          <w:rFonts w:ascii="仿宋_GB2312" w:eastAsia="仿宋_GB2312" w:hint="eastAsia"/>
          <w:sz w:val="32"/>
          <w:szCs w:val="32"/>
        </w:rPr>
        <w:t>与2022年持平。</w:t>
      </w:r>
    </w:p>
    <w:p w14:paraId="694CC115" w14:textId="77777777" w:rsidR="006E4369" w:rsidRDefault="000000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14:paraId="40983E43" w14:textId="77777777" w:rsidR="006E4369" w:rsidRDefault="00000000">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（一）</w:t>
      </w:r>
      <w:r>
        <w:rPr>
          <w:rFonts w:ascii="楷体_GB2312" w:eastAsia="楷体_GB2312" w:hint="eastAsia"/>
          <w:color w:val="000000"/>
          <w:sz w:val="32"/>
          <w:szCs w:val="32"/>
        </w:rPr>
        <w:t>政府采购预算说明</w:t>
      </w:r>
    </w:p>
    <w:p w14:paraId="2B995EF1"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2023年北京教育考试院政府采购预算总额</w:t>
      </w:r>
      <w:r>
        <w:rPr>
          <w:rFonts w:ascii="仿宋_GB2312" w:eastAsia="仿宋_GB2312"/>
          <w:color w:val="000000"/>
          <w:sz w:val="32"/>
          <w:szCs w:val="32"/>
        </w:rPr>
        <w:t>1572.43</w:t>
      </w:r>
      <w:r>
        <w:rPr>
          <w:rFonts w:ascii="仿宋_GB2312" w:eastAsia="仿宋_GB2312" w:hint="eastAsia"/>
          <w:color w:val="000000"/>
          <w:sz w:val="32"/>
          <w:szCs w:val="32"/>
        </w:rPr>
        <w:t>万元。其中：政府采购货物预算</w:t>
      </w:r>
      <w:r>
        <w:rPr>
          <w:rFonts w:ascii="仿宋_GB2312" w:eastAsia="仿宋_GB2312"/>
          <w:color w:val="000000"/>
          <w:sz w:val="32"/>
          <w:szCs w:val="32"/>
        </w:rPr>
        <w:t>382.1</w:t>
      </w:r>
      <w:r>
        <w:rPr>
          <w:rFonts w:ascii="仿宋_GB2312" w:eastAsia="仿宋_GB2312" w:hint="eastAsia"/>
          <w:color w:val="000000"/>
          <w:sz w:val="32"/>
          <w:szCs w:val="32"/>
        </w:rPr>
        <w:t>2万元，政府采购工程预算0万元，政府采购服务预算</w:t>
      </w:r>
      <w:r>
        <w:rPr>
          <w:rFonts w:ascii="仿宋_GB2312" w:eastAsia="仿宋_GB2312"/>
          <w:color w:val="000000"/>
          <w:sz w:val="32"/>
          <w:szCs w:val="32"/>
        </w:rPr>
        <w:t>1190.31</w:t>
      </w:r>
      <w:r>
        <w:rPr>
          <w:rFonts w:ascii="仿宋_GB2312" w:eastAsia="仿宋_GB2312" w:hint="eastAsia"/>
          <w:color w:val="000000"/>
          <w:sz w:val="32"/>
          <w:szCs w:val="32"/>
        </w:rPr>
        <w:t>万元。</w:t>
      </w:r>
    </w:p>
    <w:p w14:paraId="35DC0BC8"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55BCD564"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2023年北京教育考试院政府购买服务预算总额</w:t>
      </w:r>
      <w:r>
        <w:rPr>
          <w:rFonts w:ascii="仿宋_GB2312" w:eastAsia="仿宋_GB2312"/>
          <w:color w:val="000000"/>
          <w:sz w:val="32"/>
          <w:szCs w:val="32"/>
        </w:rPr>
        <w:t>0</w:t>
      </w:r>
      <w:r>
        <w:rPr>
          <w:rFonts w:ascii="仿宋_GB2312" w:eastAsia="仿宋_GB2312" w:hint="eastAsia"/>
          <w:color w:val="000000"/>
          <w:sz w:val="32"/>
          <w:szCs w:val="32"/>
        </w:rPr>
        <w:t>万元。</w:t>
      </w:r>
    </w:p>
    <w:p w14:paraId="48534015"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（三）机关运行经费情况说明</w:t>
      </w:r>
    </w:p>
    <w:p w14:paraId="3CCE4EE7" w14:textId="77777777" w:rsidR="006E4369" w:rsidRDefault="0000000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我单位不在机关运行经费统计范围之内。</w:t>
      </w:r>
    </w:p>
    <w:p w14:paraId="51B5D5A0"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 xml:space="preserve">（四）项目支出绩效目标情况说明  </w:t>
      </w:r>
    </w:p>
    <w:p w14:paraId="47D12F9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2023年，北京教育考试院填报绩效目标的预算项目10个，占全部预算项目10个的</w:t>
      </w:r>
      <w:r>
        <w:rPr>
          <w:rFonts w:ascii="仿宋_GB2312" w:eastAsia="仿宋_GB2312"/>
          <w:color w:val="000000"/>
          <w:sz w:val="32"/>
          <w:szCs w:val="32"/>
        </w:rPr>
        <w:t>100</w:t>
      </w:r>
      <w:r>
        <w:rPr>
          <w:rFonts w:ascii="仿宋_GB2312" w:eastAsia="仿宋_GB2312" w:hint="eastAsia"/>
          <w:color w:val="000000"/>
          <w:sz w:val="32"/>
          <w:szCs w:val="32"/>
        </w:rPr>
        <w:t>%。填报绩效目标的项目支出预算3094.65万元，占本单位年初全部项目支出预算的</w:t>
      </w:r>
      <w:r>
        <w:rPr>
          <w:rFonts w:ascii="仿宋_GB2312" w:eastAsia="仿宋_GB2312"/>
          <w:color w:val="000000"/>
          <w:sz w:val="32"/>
          <w:szCs w:val="32"/>
        </w:rPr>
        <w:t>100</w:t>
      </w:r>
      <w:r>
        <w:rPr>
          <w:rFonts w:ascii="仿宋_GB2312" w:eastAsia="仿宋_GB2312" w:hint="eastAsia"/>
          <w:color w:val="000000"/>
          <w:sz w:val="32"/>
          <w:szCs w:val="32"/>
        </w:rPr>
        <w:t>%。</w:t>
      </w:r>
    </w:p>
    <w:p w14:paraId="3F1AC2B7"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00ACB5AF"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本单位2023年无重点行政事业性收费。</w:t>
      </w:r>
    </w:p>
    <w:p w14:paraId="7CC2ADD2"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53935AC8"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本单位2023年无国有资本经营预算财政拨款安排的预算。</w:t>
      </w:r>
    </w:p>
    <w:p w14:paraId="570E9C06" w14:textId="77777777" w:rsidR="006E436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6846533" w14:textId="77777777" w:rsidR="006E436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截止2022年底，本部门共有车辆7台，共</w:t>
      </w:r>
      <w:r>
        <w:rPr>
          <w:rFonts w:ascii="仿宋_GB2312" w:eastAsia="仿宋_GB2312" w:hAnsi="仿宋_GB2312" w:cs="仿宋_GB2312"/>
          <w:color w:val="000000"/>
          <w:sz w:val="32"/>
          <w:szCs w:val="32"/>
        </w:rPr>
        <w:t>146</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9万元；单位价值50万元以上通用设</w:t>
      </w:r>
      <w:r>
        <w:rPr>
          <w:rFonts w:ascii="仿宋_GB2312" w:eastAsia="仿宋_GB2312" w:hAnsi="仿宋_GB2312" w:cs="仿宋_GB2312" w:hint="eastAsia"/>
          <w:sz w:val="32"/>
          <w:szCs w:val="32"/>
        </w:rPr>
        <w:t>备2台（套），共计425.23万元；</w:t>
      </w:r>
      <w:r>
        <w:rPr>
          <w:rFonts w:ascii="仿宋_GB2312" w:eastAsia="仿宋_GB2312" w:hAnsi="仿宋_GB2312" w:cs="仿宋_GB2312" w:hint="eastAsia"/>
          <w:color w:val="000000"/>
          <w:sz w:val="32"/>
          <w:szCs w:val="32"/>
        </w:rPr>
        <w:t>单位价值100万元以上的专用设备0台</w:t>
      </w:r>
      <w:r>
        <w:rPr>
          <w:rFonts w:ascii="仿宋_GB2312" w:eastAsia="仿宋_GB2312" w:hAnsi="仿宋_GB2312" w:cs="仿宋_GB2312" w:hint="eastAsia"/>
          <w:sz w:val="32"/>
          <w:szCs w:val="32"/>
        </w:rPr>
        <w:t>（套）</w:t>
      </w:r>
      <w:r>
        <w:rPr>
          <w:rFonts w:ascii="仿宋_GB2312" w:eastAsia="仿宋_GB2312" w:hAnsi="仿宋_GB2312" w:cs="仿宋_GB2312" w:hint="eastAsia"/>
          <w:color w:val="000000"/>
          <w:sz w:val="32"/>
          <w:szCs w:val="32"/>
        </w:rPr>
        <w:t>，共计0万元。</w:t>
      </w:r>
    </w:p>
    <w:p w14:paraId="002B3943" w14:textId="77777777" w:rsidR="006E4369" w:rsidRDefault="000000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14:paraId="154069C1"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9DA0192"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B7B085D"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0730C48" w14:textId="77777777" w:rsidR="001B51A6" w:rsidRDefault="001B51A6">
      <w:pPr>
        <w:spacing w:line="560" w:lineRule="exact"/>
        <w:jc w:val="center"/>
        <w:rPr>
          <w:rFonts w:ascii="方正小标宋简体" w:eastAsia="方正小标宋简体"/>
          <w:color w:val="000000"/>
          <w:sz w:val="36"/>
          <w:szCs w:val="36"/>
        </w:rPr>
        <w:sectPr w:rsidR="001B51A6">
          <w:footerReference w:type="default" r:id="rId9"/>
          <w:pgSz w:w="11906" w:h="16838"/>
          <w:pgMar w:top="1440" w:right="1800" w:bottom="1440" w:left="1800" w:header="851" w:footer="992" w:gutter="0"/>
          <w:cols w:space="425"/>
          <w:docGrid w:type="lines" w:linePitch="312"/>
        </w:sectPr>
      </w:pPr>
    </w:p>
    <w:p w14:paraId="686482F3" w14:textId="77777777" w:rsidR="006E436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7300847C" w14:textId="77777777" w:rsidR="006E4369" w:rsidRDefault="006E4369">
      <w:pPr>
        <w:autoSpaceDE w:val="0"/>
        <w:autoSpaceDN w:val="0"/>
        <w:adjustRightInd w:val="0"/>
        <w:spacing w:line="560" w:lineRule="exact"/>
        <w:jc w:val="left"/>
        <w:rPr>
          <w:rFonts w:ascii="方正小标宋简体" w:eastAsia="方正小标宋简体"/>
          <w:color w:val="000000"/>
          <w:sz w:val="36"/>
          <w:szCs w:val="36"/>
        </w:rPr>
      </w:pPr>
    </w:p>
    <w:p w14:paraId="75E76B93" w14:textId="77777777" w:rsidR="006E436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附件：北京教育考试院2023年度单位预算报表</w:t>
      </w:r>
      <w:r>
        <w:rPr>
          <w:rFonts w:ascii="仿宋_GB2312" w:eastAsia="仿宋_GB2312" w:cs="宋体" w:hint="eastAsia"/>
          <w:color w:val="000000"/>
          <w:kern w:val="0"/>
          <w:sz w:val="32"/>
          <w:szCs w:val="32"/>
          <w:lang w:val="zh-CN"/>
        </w:rPr>
        <w:t xml:space="preserve"> </w:t>
      </w:r>
    </w:p>
    <w:p w14:paraId="4A16E136" w14:textId="77777777" w:rsidR="006E4369" w:rsidRDefault="006E4369"/>
    <w:sectPr w:rsidR="006E43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F2EE6" w14:textId="77777777" w:rsidR="00265AC4" w:rsidRDefault="00265AC4">
      <w:r>
        <w:separator/>
      </w:r>
    </w:p>
  </w:endnote>
  <w:endnote w:type="continuationSeparator" w:id="0">
    <w:p w14:paraId="55979228" w14:textId="77777777" w:rsidR="00265AC4" w:rsidRDefault="0026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06C12517-E410-4D0A-8421-CDB42AFB6CAF}"/>
  </w:font>
  <w:font w:name="方正小标宋简体">
    <w:panose1 w:val="03000509000000000000"/>
    <w:charset w:val="86"/>
    <w:family w:val="script"/>
    <w:pitch w:val="fixed"/>
    <w:sig w:usb0="00000001" w:usb1="080E0000" w:usb2="00000010" w:usb3="00000000" w:csb0="00040000" w:csb1="00000000"/>
    <w:embedRegular r:id="rId2" w:subsetted="1" w:fontKey="{7809F5CD-A869-49C7-A7AF-8C4EF2C4BFAD}"/>
  </w:font>
  <w:font w:name="仿宋_GB2312">
    <w:altName w:val="仿宋"/>
    <w:panose1 w:val="02010609030101010101"/>
    <w:charset w:val="86"/>
    <w:family w:val="modern"/>
    <w:pitch w:val="fixed"/>
    <w:sig w:usb0="00000001" w:usb1="080E0000" w:usb2="00000010" w:usb3="00000000" w:csb0="00040000" w:csb1="00000000"/>
    <w:embedRegular r:id="rId3" w:subsetted="1" w:fontKey="{9F61C3A5-C1AA-4F5B-B5C4-0B63A12E512D}"/>
    <w:embedBold r:id="rId4" w:subsetted="1" w:fontKey="{C5529C2D-2932-4F4E-A582-4770D65B1F5C}"/>
  </w:font>
  <w:font w:name="楷体_GB2312">
    <w:altName w:val="楷体"/>
    <w:panose1 w:val="02010609030101010101"/>
    <w:charset w:val="86"/>
    <w:family w:val="modern"/>
    <w:pitch w:val="fixed"/>
    <w:sig w:usb0="00000001" w:usb1="080E0000" w:usb2="00000010" w:usb3="00000000" w:csb0="00040000" w:csb1="00000000"/>
    <w:embedRegular r:id="rId5" w:subsetted="1" w:fontKey="{63F267A3-2513-4962-B645-1F6EE12FBB45}"/>
  </w:font>
  <w:font w:name="仿宋">
    <w:panose1 w:val="02010609060101010101"/>
    <w:charset w:val="86"/>
    <w:family w:val="modern"/>
    <w:pitch w:val="fixed"/>
    <w:sig w:usb0="800002BF" w:usb1="38CF7CFA" w:usb2="00000016" w:usb3="00000000" w:csb0="00040001" w:csb1="00000000"/>
    <w:embedRegular r:id="rId6" w:subsetted="1" w:fontKey="{5370E2A4-D3F2-4901-867D-ECB77DAA39D6}"/>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1ADD" w14:textId="77777777" w:rsidR="006E4369" w:rsidRDefault="00000000">
    <w:pPr>
      <w:pStyle w:val="a5"/>
      <w:jc w:val="right"/>
      <w:rPr>
        <w:rFonts w:ascii="宋体" w:hAnsi="宋体"/>
        <w:sz w:val="28"/>
        <w:szCs w:val="28"/>
      </w:rPr>
    </w:pPr>
    <w:r>
      <w:rPr>
        <w:sz w:val="28"/>
      </w:rPr>
      <w:pict w14:anchorId="5E7B3289">
        <v:shapetype id="_x0000_t202" coordsize="21600,21600" o:spt="202" path="m,l,21600r21600,l21600,xe">
          <v:stroke joinstyle="miter"/>
          <v:path gradientshapeok="t" o:connecttype="rect"/>
        </v:shapetype>
        <v:shape id="文本框 3" o:spid="_x0000_s1026" type="#_x0000_t202" style="position:absolute;left:0;text-align:left;margin-left:-80.75pt;margin-top:0;width:35.05pt;height:18.15pt;z-index:251659264;mso-wrap-style:none;mso-position-horizontal:outside;mso-position-horizontal-relative:margin;mso-width-relative:page;mso-height-relative:page"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vOISfRAAAAAwEAAA8AAAAAAAAAAQAgAAAAIgAA&#10;AGRycy9kb3ducmV2LnhtbFBLAQIUABQAAAAIAIdO4kDV7EU/DwIAABAEAAAOAAAAAAAAAAEAIAAA&#10;ACABAABkcnMvZTJvRG9jLnhtbFBLBQYAAAAABgAGAFkBAAChBQAAAAA=&#10;" filled="f" stroked="f">
          <v:textbox style="mso-fit-shape-to-text:t" inset="0,0,0,0">
            <w:txbxContent>
              <w:p w14:paraId="374EA3BC" w14:textId="77777777" w:rsidR="006E436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txbxContent>
          </v:textbox>
          <w10:wrap anchorx="margin"/>
        </v:shape>
      </w:pict>
    </w:r>
  </w:p>
  <w:p w14:paraId="4E923C6B" w14:textId="77777777" w:rsidR="006E4369" w:rsidRDefault="006E4369">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A1DC4" w14:textId="77777777" w:rsidR="00265AC4" w:rsidRDefault="00265AC4">
      <w:r>
        <w:separator/>
      </w:r>
    </w:p>
  </w:footnote>
  <w:footnote w:type="continuationSeparator" w:id="0">
    <w:p w14:paraId="31CFA828" w14:textId="77777777" w:rsidR="00265AC4" w:rsidRDefault="00265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GE2Mjg2YTZkZTMyMTYwY2M1OTQ5YzJlN2MyYmRjOGEifQ=="/>
  </w:docVars>
  <w:rsids>
    <w:rsidRoot w:val="00D263AC"/>
    <w:rsid w:val="00043819"/>
    <w:rsid w:val="00061124"/>
    <w:rsid w:val="00062AA0"/>
    <w:rsid w:val="000A4356"/>
    <w:rsid w:val="000A553F"/>
    <w:rsid w:val="000A7A88"/>
    <w:rsid w:val="000E3EA1"/>
    <w:rsid w:val="001201F8"/>
    <w:rsid w:val="00142EEE"/>
    <w:rsid w:val="00154DF9"/>
    <w:rsid w:val="001635A0"/>
    <w:rsid w:val="00187015"/>
    <w:rsid w:val="001A50F1"/>
    <w:rsid w:val="001B51A6"/>
    <w:rsid w:val="001C06DA"/>
    <w:rsid w:val="001E4A70"/>
    <w:rsid w:val="00204834"/>
    <w:rsid w:val="00253F75"/>
    <w:rsid w:val="00265AC4"/>
    <w:rsid w:val="002A0819"/>
    <w:rsid w:val="002B6EF6"/>
    <w:rsid w:val="002C4C68"/>
    <w:rsid w:val="002C786C"/>
    <w:rsid w:val="002E2D92"/>
    <w:rsid w:val="0035069B"/>
    <w:rsid w:val="00395E5B"/>
    <w:rsid w:val="003B7E1D"/>
    <w:rsid w:val="0041226F"/>
    <w:rsid w:val="00496089"/>
    <w:rsid w:val="005478E8"/>
    <w:rsid w:val="005516F4"/>
    <w:rsid w:val="005A2BC9"/>
    <w:rsid w:val="0060703A"/>
    <w:rsid w:val="00671648"/>
    <w:rsid w:val="00687D53"/>
    <w:rsid w:val="006927E9"/>
    <w:rsid w:val="006C3273"/>
    <w:rsid w:val="006E4369"/>
    <w:rsid w:val="00711D2F"/>
    <w:rsid w:val="007132A0"/>
    <w:rsid w:val="00751FF1"/>
    <w:rsid w:val="00752D96"/>
    <w:rsid w:val="007843A7"/>
    <w:rsid w:val="0079087F"/>
    <w:rsid w:val="007A7B8D"/>
    <w:rsid w:val="007C4650"/>
    <w:rsid w:val="0086779A"/>
    <w:rsid w:val="008C0E70"/>
    <w:rsid w:val="008F4710"/>
    <w:rsid w:val="009216DD"/>
    <w:rsid w:val="00947807"/>
    <w:rsid w:val="009B23D4"/>
    <w:rsid w:val="009B48C7"/>
    <w:rsid w:val="009C17A4"/>
    <w:rsid w:val="00A16BB7"/>
    <w:rsid w:val="00A234B1"/>
    <w:rsid w:val="00A73BB0"/>
    <w:rsid w:val="00AA0C74"/>
    <w:rsid w:val="00AE61C9"/>
    <w:rsid w:val="00AF4599"/>
    <w:rsid w:val="00AF4896"/>
    <w:rsid w:val="00B40672"/>
    <w:rsid w:val="00B6703F"/>
    <w:rsid w:val="00BA3A9A"/>
    <w:rsid w:val="00BE7D1F"/>
    <w:rsid w:val="00BF01ED"/>
    <w:rsid w:val="00C603C9"/>
    <w:rsid w:val="00C84655"/>
    <w:rsid w:val="00CF4761"/>
    <w:rsid w:val="00D022CF"/>
    <w:rsid w:val="00D025D0"/>
    <w:rsid w:val="00D126F2"/>
    <w:rsid w:val="00D15A47"/>
    <w:rsid w:val="00D250D8"/>
    <w:rsid w:val="00D263AC"/>
    <w:rsid w:val="00D8563F"/>
    <w:rsid w:val="00D8795C"/>
    <w:rsid w:val="00D923CA"/>
    <w:rsid w:val="00DA00B5"/>
    <w:rsid w:val="00DC0947"/>
    <w:rsid w:val="00DF0DF4"/>
    <w:rsid w:val="00E1575B"/>
    <w:rsid w:val="00E21C6E"/>
    <w:rsid w:val="00E70284"/>
    <w:rsid w:val="00F0260C"/>
    <w:rsid w:val="00F153EC"/>
    <w:rsid w:val="00F17269"/>
    <w:rsid w:val="00F83905"/>
    <w:rsid w:val="00FB36A1"/>
    <w:rsid w:val="2086604B"/>
    <w:rsid w:val="20CB15FB"/>
    <w:rsid w:val="27391E05"/>
    <w:rsid w:val="293327E6"/>
    <w:rsid w:val="359E6B1B"/>
    <w:rsid w:val="52602C62"/>
    <w:rsid w:val="59D65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13C70"/>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spcFirstLastPara="0" vertOverflow="ellipsis" vert="horz" wrap="square" anchor="ctr" anchorCtr="1"/>
          <a:lstStyle/>
          <a:p>
            <a:pPr>
              <a:defRPr lang="zh-CN" sz="1800" b="1" i="0" u="none" strike="noStrike" kern="1200" baseline="0">
                <a:solidFill>
                  <a:schemeClr val="dk1"/>
                </a:solidFill>
                <a:latin typeface="+mn-lt"/>
                <a:ea typeface="+mn-ea"/>
                <a:cs typeface="+mn-cs"/>
              </a:defRPr>
            </a:pPr>
            <a:r>
              <a:rPr lang="zh-CN" altLang="en-US" sz="1400" b="0"/>
              <a:t>收入预算</a:t>
            </a:r>
          </a:p>
        </c:rich>
      </c:tx>
      <c:overlay val="0"/>
    </c:title>
    <c:autoTitleDeleted val="0"/>
    <c:plotArea>
      <c:layout/>
      <c:pieChart>
        <c:varyColors val="1"/>
        <c:ser>
          <c:idx val="0"/>
          <c:order val="0"/>
          <c:tx>
            <c:strRef>
              <c:f>Sheet1!$B$1</c:f>
              <c:strCache>
                <c:ptCount val="1"/>
                <c:pt idx="0">
                  <c:v>收入预算</c:v>
                </c:pt>
              </c:strCache>
            </c:strRef>
          </c:tx>
          <c:dPt>
            <c:idx val="0"/>
            <c:bubble3D val="0"/>
            <c:extLst>
              <c:ext xmlns:c16="http://schemas.microsoft.com/office/drawing/2014/chart" uri="{C3380CC4-5D6E-409C-BE32-E72D297353CC}">
                <c16:uniqueId val="{00000000-CE32-4DD4-AE40-EA4705184CA8}"/>
              </c:ext>
            </c:extLst>
          </c:dPt>
          <c:dPt>
            <c:idx val="1"/>
            <c:bubble3D val="0"/>
            <c:extLst>
              <c:ext xmlns:c16="http://schemas.microsoft.com/office/drawing/2014/chart" uri="{C3380CC4-5D6E-409C-BE32-E72D297353CC}">
                <c16:uniqueId val="{00000001-CE32-4DD4-AE40-EA4705184CA8}"/>
              </c:ext>
            </c:extLst>
          </c:dPt>
          <c:dPt>
            <c:idx val="2"/>
            <c:bubble3D val="0"/>
            <c:extLst>
              <c:ext xmlns:c16="http://schemas.microsoft.com/office/drawing/2014/chart" uri="{C3380CC4-5D6E-409C-BE32-E72D297353CC}">
                <c16:uniqueId val="{00000002-CE32-4DD4-AE40-EA4705184CA8}"/>
              </c:ext>
            </c:extLst>
          </c:dPt>
          <c:dPt>
            <c:idx val="3"/>
            <c:bubble3D val="0"/>
            <c:extLst>
              <c:ext xmlns:c16="http://schemas.microsoft.com/office/drawing/2014/chart" uri="{C3380CC4-5D6E-409C-BE32-E72D297353CC}">
                <c16:uniqueId val="{00000003-CE32-4DD4-AE40-EA4705184CA8}"/>
              </c:ext>
            </c:extLst>
          </c:dPt>
          <c:dPt>
            <c:idx val="4"/>
            <c:bubble3D val="0"/>
            <c:extLst>
              <c:ext xmlns:c16="http://schemas.microsoft.com/office/drawing/2014/chart" uri="{C3380CC4-5D6E-409C-BE32-E72D297353CC}">
                <c16:uniqueId val="{00000004-CE32-4DD4-AE40-EA4705184CA8}"/>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dk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Sheet1!$A$2:$A$6</c:f>
              <c:strCache>
                <c:ptCount val="5"/>
                <c:pt idx="0">
                  <c:v>一般公共预算拨款收入</c:v>
                </c:pt>
                <c:pt idx="1">
                  <c:v>财政专户管理资金收入</c:v>
                </c:pt>
                <c:pt idx="2">
                  <c:v>事业单位经营收入</c:v>
                </c:pt>
                <c:pt idx="3">
                  <c:v>其他收入</c:v>
                </c:pt>
                <c:pt idx="4">
                  <c:v>上年结转结余</c:v>
                </c:pt>
              </c:strCache>
            </c:strRef>
          </c:cat>
          <c:val>
            <c:numRef>
              <c:f>Sheet1!$B$2:$B$6</c:f>
              <c:numCache>
                <c:formatCode>0.00%</c:formatCode>
                <c:ptCount val="5"/>
                <c:pt idx="0">
                  <c:v>0.60112741512782497</c:v>
                </c:pt>
                <c:pt idx="1">
                  <c:v>0.32509286768435902</c:v>
                </c:pt>
                <c:pt idx="2">
                  <c:v>4.9903944451041599E-2</c:v>
                </c:pt>
                <c:pt idx="3">
                  <c:v>1.8329382892596599E-4</c:v>
                </c:pt>
                <c:pt idx="4">
                  <c:v>2.3692478907851599E-2</c:v>
                </c:pt>
              </c:numCache>
            </c:numRef>
          </c:val>
          <c:extLst>
            <c:ext xmlns:c16="http://schemas.microsoft.com/office/drawing/2014/chart" uri="{C3380CC4-5D6E-409C-BE32-E72D297353CC}">
              <c16:uniqueId val="{00000005-CE32-4DD4-AE40-EA4705184CA8}"/>
            </c:ext>
          </c:extLst>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dk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基本支出和项目支出情况</a:t>
            </a:r>
          </a:p>
        </c:rich>
      </c:tx>
      <c:overlay val="0"/>
    </c:title>
    <c:autoTitleDeleted val="0"/>
    <c:plotArea>
      <c:layout/>
      <c:pieChart>
        <c:varyColors val="1"/>
        <c:ser>
          <c:idx val="0"/>
          <c:order val="0"/>
          <c:tx>
            <c:strRef>
              <c:f>Sheet1!$B$1</c:f>
              <c:strCache>
                <c:ptCount val="1"/>
                <c:pt idx="0">
                  <c:v>基本支出和项目支出情况</c:v>
                </c:pt>
              </c:strCache>
            </c:strRef>
          </c:tx>
          <c:dPt>
            <c:idx val="0"/>
            <c:bubble3D val="0"/>
            <c:extLst>
              <c:ext xmlns:c16="http://schemas.microsoft.com/office/drawing/2014/chart" uri="{C3380CC4-5D6E-409C-BE32-E72D297353CC}">
                <c16:uniqueId val="{00000000-956C-47D1-AF80-AC2F957BCAC3}"/>
              </c:ext>
            </c:extLst>
          </c:dPt>
          <c:dPt>
            <c:idx val="1"/>
            <c:bubble3D val="0"/>
            <c:extLst>
              <c:ext xmlns:c16="http://schemas.microsoft.com/office/drawing/2014/chart" uri="{C3380CC4-5D6E-409C-BE32-E72D297353CC}">
                <c16:uniqueId val="{00000001-956C-47D1-AF80-AC2F957BCAC3}"/>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0.87215438191024597</c:v>
                </c:pt>
                <c:pt idx="1">
                  <c:v>0.12784561808975201</c:v>
                </c:pt>
              </c:numCache>
            </c:numRef>
          </c:val>
          <c:extLst>
            <c:ext xmlns:c16="http://schemas.microsoft.com/office/drawing/2014/chart" uri="{C3380CC4-5D6E-409C-BE32-E72D297353CC}">
              <c16:uniqueId val="{00000002-956C-47D1-AF80-AC2F957BCAC3}"/>
            </c:ext>
          </c:extLst>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400</Words>
  <Characters>2282</Characters>
  <Application>Microsoft Office Word</Application>
  <DocSecurity>0</DocSecurity>
  <Lines>19</Lines>
  <Paragraphs>5</Paragraphs>
  <ScaleCrop>false</ScaleCrop>
  <Company>Microsoft</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30</cp:revision>
  <dcterms:created xsi:type="dcterms:W3CDTF">2023-03-01T08:13:00Z</dcterms:created>
  <dcterms:modified xsi:type="dcterms:W3CDTF">2023-03-08T04:09:00Z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F11FD1110DE44C23A29E0763CA15B406</vt:lpwstr>
  </property>
</Properties>
</file>