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88826" w14:textId="77777777" w:rsidR="00257DE2"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北京教育科学研究院2023年财政预算信息公开</w:t>
      </w:r>
    </w:p>
    <w:p w14:paraId="62ABF2E5" w14:textId="77777777" w:rsidR="00257DE2" w:rsidRDefault="00257DE2">
      <w:pPr>
        <w:spacing w:line="240" w:lineRule="exact"/>
        <w:jc w:val="center"/>
        <w:rPr>
          <w:rFonts w:ascii="方正小标宋简体" w:eastAsia="方正小标宋简体"/>
          <w:color w:val="000000"/>
          <w:sz w:val="32"/>
          <w:szCs w:val="32"/>
        </w:rPr>
      </w:pPr>
    </w:p>
    <w:p w14:paraId="799213E7" w14:textId="77777777" w:rsidR="00257DE2"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74128784" w14:textId="77777777" w:rsidR="00257DE2" w:rsidRDefault="00257DE2">
      <w:pPr>
        <w:spacing w:line="240" w:lineRule="exact"/>
        <w:jc w:val="center"/>
        <w:rPr>
          <w:rFonts w:ascii="方正小标宋简体" w:eastAsia="方正小标宋简体"/>
          <w:color w:val="000000"/>
          <w:sz w:val="32"/>
          <w:szCs w:val="32"/>
        </w:rPr>
      </w:pPr>
    </w:p>
    <w:p w14:paraId="05E5C3E0" w14:textId="77777777" w:rsidR="00257DE2"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5A9811A9" w14:textId="77777777" w:rsidR="00257DE2"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16EA5D75" w14:textId="77777777" w:rsidR="00257DE2"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38101BE9" w14:textId="77777777" w:rsidR="00257DE2"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5D0B7B48" w14:textId="77777777" w:rsidR="00257DE2"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1C85577E" w14:textId="77777777" w:rsidR="00257DE2"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427A4A8D" w14:textId="77777777" w:rsidR="00257DE2"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688ACB87" w14:textId="77777777" w:rsidR="00257DE2"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2FAEDEBF" w14:textId="77777777" w:rsidR="00257DE2" w:rsidRDefault="00000000">
      <w:pPr>
        <w:spacing w:line="560" w:lineRule="exact"/>
        <w:ind w:firstLineChars="200" w:firstLine="640"/>
        <w:rPr>
          <w:rFonts w:ascii="黑体" w:eastAsia="黑体" w:hAnsi="黑体" w:cs="黑体"/>
          <w:color w:val="000000"/>
          <w:sz w:val="32"/>
          <w:szCs w:val="32"/>
        </w:rPr>
      </w:pPr>
      <w:r>
        <w:rPr>
          <w:rFonts w:ascii="仿宋_GB2312" w:eastAsia="仿宋_GB2312" w:hAnsi="仿宋_GB2312" w:cs="仿宋_GB2312" w:hint="eastAsia"/>
          <w:color w:val="000000"/>
          <w:kern w:val="0"/>
          <w:sz w:val="32"/>
          <w:szCs w:val="32"/>
          <w:lang w:val="zh-CN"/>
        </w:rPr>
        <w:t>一、收支总表</w:t>
      </w:r>
    </w:p>
    <w:p w14:paraId="62A42405" w14:textId="77777777" w:rsidR="00257DE2" w:rsidRDefault="00000000">
      <w:pPr>
        <w:spacing w:line="560" w:lineRule="exact"/>
        <w:ind w:firstLineChars="200" w:firstLine="640"/>
        <w:rPr>
          <w:rFonts w:ascii="黑体" w:eastAsia="黑体" w:hAnsi="黑体" w:cs="黑体"/>
          <w:color w:val="000000"/>
          <w:sz w:val="32"/>
          <w:szCs w:val="32"/>
        </w:rPr>
      </w:pPr>
      <w:r>
        <w:rPr>
          <w:rFonts w:ascii="仿宋_GB2312" w:eastAsia="仿宋_GB2312" w:hAnsi="仿宋_GB2312" w:cs="仿宋_GB2312" w:hint="eastAsia"/>
          <w:color w:val="000000"/>
          <w:kern w:val="0"/>
          <w:sz w:val="32"/>
          <w:szCs w:val="32"/>
          <w:lang w:val="zh-CN"/>
        </w:rPr>
        <w:t>二、收入总表</w:t>
      </w:r>
    </w:p>
    <w:p w14:paraId="4E06BD77" w14:textId="77777777" w:rsidR="00257DE2" w:rsidRDefault="00000000">
      <w:pPr>
        <w:spacing w:line="560" w:lineRule="exact"/>
        <w:ind w:firstLineChars="200" w:firstLine="640"/>
        <w:rPr>
          <w:rFonts w:ascii="黑体" w:eastAsia="黑体" w:hAnsi="黑体" w:cs="黑体"/>
          <w:color w:val="000000"/>
          <w:sz w:val="32"/>
          <w:szCs w:val="32"/>
        </w:rPr>
      </w:pPr>
      <w:r>
        <w:rPr>
          <w:rFonts w:ascii="仿宋_GB2312" w:eastAsia="仿宋_GB2312" w:hAnsi="仿宋_GB2312" w:cs="仿宋_GB2312" w:hint="eastAsia"/>
          <w:color w:val="000000"/>
          <w:kern w:val="0"/>
          <w:sz w:val="32"/>
          <w:szCs w:val="32"/>
          <w:lang w:val="zh-CN"/>
        </w:rPr>
        <w:t>三、支出总表</w:t>
      </w:r>
    </w:p>
    <w:p w14:paraId="739F5C6A" w14:textId="77777777" w:rsidR="00257DE2" w:rsidRDefault="00000000">
      <w:pPr>
        <w:spacing w:line="560" w:lineRule="exact"/>
        <w:ind w:firstLineChars="200" w:firstLine="640"/>
        <w:rPr>
          <w:rFonts w:ascii="黑体" w:eastAsia="黑体" w:hAnsi="黑体" w:cs="黑体"/>
          <w:color w:val="000000"/>
          <w:sz w:val="32"/>
          <w:szCs w:val="32"/>
        </w:rPr>
      </w:pPr>
      <w:r>
        <w:rPr>
          <w:rFonts w:ascii="仿宋_GB2312" w:eastAsia="仿宋_GB2312" w:hAnsi="仿宋_GB2312" w:cs="仿宋_GB2312" w:hint="eastAsia"/>
          <w:color w:val="000000"/>
          <w:kern w:val="0"/>
          <w:sz w:val="32"/>
          <w:szCs w:val="32"/>
          <w:lang w:val="zh-CN"/>
        </w:rPr>
        <w:t>四、项目支出表</w:t>
      </w:r>
    </w:p>
    <w:p w14:paraId="43A934B6" w14:textId="77777777" w:rsidR="00257DE2" w:rsidRDefault="00000000">
      <w:pPr>
        <w:spacing w:line="560" w:lineRule="exact"/>
        <w:ind w:firstLineChars="200" w:firstLine="640"/>
        <w:rPr>
          <w:rFonts w:ascii="黑体" w:eastAsia="黑体" w:hAnsi="黑体" w:cs="黑体"/>
          <w:color w:val="000000"/>
          <w:sz w:val="32"/>
          <w:szCs w:val="32"/>
        </w:rPr>
      </w:pPr>
      <w:r>
        <w:rPr>
          <w:rFonts w:ascii="仿宋_GB2312" w:eastAsia="仿宋_GB2312" w:hAnsi="仿宋_GB2312" w:cs="仿宋_GB2312" w:hint="eastAsia"/>
          <w:color w:val="000000"/>
          <w:kern w:val="0"/>
          <w:sz w:val="32"/>
          <w:szCs w:val="32"/>
          <w:lang w:val="zh-CN"/>
        </w:rPr>
        <w:t>五、政府采购预算明细表</w:t>
      </w:r>
    </w:p>
    <w:p w14:paraId="4D57FAAA" w14:textId="77777777" w:rsidR="00257DE2" w:rsidRDefault="00000000">
      <w:pPr>
        <w:spacing w:line="560" w:lineRule="exact"/>
        <w:ind w:firstLineChars="200" w:firstLine="640"/>
        <w:rPr>
          <w:rFonts w:ascii="黑体" w:eastAsia="黑体" w:hAnsi="黑体" w:cs="黑体"/>
          <w:color w:val="000000"/>
          <w:sz w:val="32"/>
          <w:szCs w:val="32"/>
        </w:rPr>
      </w:pPr>
      <w:r>
        <w:rPr>
          <w:rFonts w:ascii="仿宋_GB2312" w:eastAsia="仿宋_GB2312" w:hAnsi="仿宋_GB2312" w:cs="仿宋_GB2312" w:hint="eastAsia"/>
          <w:color w:val="000000"/>
          <w:kern w:val="0"/>
          <w:sz w:val="32"/>
          <w:szCs w:val="32"/>
          <w:lang w:val="zh-CN"/>
        </w:rPr>
        <w:t>六、财政拨款收支总表</w:t>
      </w:r>
    </w:p>
    <w:p w14:paraId="43382FB6" w14:textId="77777777" w:rsidR="00257DE2" w:rsidRDefault="00000000">
      <w:pPr>
        <w:spacing w:line="560" w:lineRule="exact"/>
        <w:ind w:firstLineChars="200" w:firstLine="640"/>
        <w:rPr>
          <w:rFonts w:ascii="黑体" w:eastAsia="黑体" w:hAnsi="黑体" w:cs="黑体"/>
          <w:color w:val="000000"/>
          <w:sz w:val="32"/>
          <w:szCs w:val="32"/>
        </w:rPr>
      </w:pPr>
      <w:r>
        <w:rPr>
          <w:rFonts w:ascii="仿宋_GB2312" w:eastAsia="仿宋_GB2312" w:hAnsi="仿宋_GB2312" w:cs="仿宋_GB2312" w:hint="eastAsia"/>
          <w:color w:val="000000"/>
          <w:kern w:val="0"/>
          <w:sz w:val="32"/>
          <w:szCs w:val="32"/>
          <w:lang w:val="zh-CN"/>
        </w:rPr>
        <w:t>七、一般公共预算财政拨款支出表</w:t>
      </w:r>
    </w:p>
    <w:p w14:paraId="5D8B3ECB" w14:textId="77777777" w:rsidR="00257DE2" w:rsidRDefault="00000000">
      <w:pPr>
        <w:spacing w:line="560" w:lineRule="exact"/>
        <w:ind w:firstLineChars="200" w:firstLine="576"/>
        <w:rPr>
          <w:rFonts w:ascii="黑体" w:eastAsia="黑体" w:hAnsi="黑体" w:cs="黑体"/>
          <w:color w:val="000000"/>
          <w:sz w:val="32"/>
          <w:szCs w:val="32"/>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41F4DE3E" w14:textId="77777777" w:rsidR="00257DE2" w:rsidRDefault="00000000">
      <w:pPr>
        <w:spacing w:line="560" w:lineRule="exact"/>
        <w:ind w:firstLineChars="200" w:firstLine="640"/>
        <w:rPr>
          <w:rFonts w:ascii="黑体" w:eastAsia="黑体" w:hAnsi="黑体" w:cs="黑体"/>
          <w:color w:val="000000"/>
          <w:sz w:val="32"/>
          <w:szCs w:val="32"/>
        </w:rPr>
      </w:pPr>
      <w:r>
        <w:rPr>
          <w:rFonts w:ascii="仿宋_GB2312" w:eastAsia="仿宋_GB2312" w:hAnsi="仿宋_GB2312" w:cs="仿宋_GB2312" w:hint="eastAsia"/>
          <w:color w:val="000000"/>
          <w:kern w:val="0"/>
          <w:sz w:val="32"/>
          <w:szCs w:val="32"/>
          <w:lang w:val="zh-CN"/>
        </w:rPr>
        <w:t>九、政府性基金预算财政拨款支出表</w:t>
      </w:r>
    </w:p>
    <w:p w14:paraId="69FECAF6" w14:textId="77777777" w:rsidR="00257DE2" w:rsidRDefault="00000000">
      <w:pPr>
        <w:spacing w:line="560" w:lineRule="exact"/>
        <w:ind w:firstLineChars="200" w:firstLine="640"/>
        <w:rPr>
          <w:rFonts w:ascii="黑体" w:eastAsia="黑体" w:hAnsi="黑体" w:cs="黑体"/>
          <w:color w:val="000000"/>
          <w:sz w:val="32"/>
          <w:szCs w:val="32"/>
        </w:rPr>
      </w:pPr>
      <w:r>
        <w:rPr>
          <w:rFonts w:ascii="仿宋_GB2312" w:eastAsia="仿宋_GB2312" w:hAnsi="仿宋_GB2312" w:cs="仿宋_GB2312" w:hint="eastAsia"/>
          <w:color w:val="000000"/>
          <w:kern w:val="0"/>
          <w:sz w:val="32"/>
          <w:szCs w:val="32"/>
          <w:lang w:val="zh-CN"/>
        </w:rPr>
        <w:t>十、国有资本经营预算财政拨款支出表</w:t>
      </w:r>
    </w:p>
    <w:p w14:paraId="6EBD226B" w14:textId="77777777" w:rsidR="00257DE2" w:rsidRDefault="00000000">
      <w:pPr>
        <w:spacing w:line="560" w:lineRule="exact"/>
        <w:ind w:firstLineChars="200" w:firstLine="576"/>
        <w:rPr>
          <w:rFonts w:ascii="黑体" w:eastAsia="黑体" w:hAnsi="黑体" w:cs="黑体"/>
          <w:color w:val="000000"/>
          <w:sz w:val="32"/>
          <w:szCs w:val="32"/>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68DE6804" w14:textId="77777777" w:rsidR="00257DE2" w:rsidRDefault="00000000">
      <w:pPr>
        <w:spacing w:line="560" w:lineRule="exact"/>
        <w:ind w:firstLineChars="200" w:firstLine="568"/>
        <w:rPr>
          <w:rFonts w:ascii="黑体" w:eastAsia="黑体" w:hAnsi="黑体" w:cs="黑体"/>
          <w:color w:val="000000"/>
          <w:sz w:val="32"/>
          <w:szCs w:val="32"/>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3749591D" w14:textId="77777777" w:rsidR="00257DE2"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sectPr w:rsidR="00257DE2">
          <w:footerReference w:type="default" r:id="rId7"/>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13EC8A73" w14:textId="77777777" w:rsidR="00257DE2" w:rsidRDefault="00257DE2">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74881A3E" w14:textId="77777777" w:rsidR="00257DE2"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2463ACC5" w14:textId="77777777" w:rsidR="00257DE2" w:rsidRDefault="00257DE2">
      <w:pPr>
        <w:spacing w:line="360" w:lineRule="auto"/>
        <w:rPr>
          <w:rFonts w:ascii="仿宋_GB2312" w:eastAsia="仿宋_GB2312"/>
          <w:color w:val="000000"/>
          <w:sz w:val="32"/>
          <w:szCs w:val="32"/>
        </w:rPr>
      </w:pPr>
    </w:p>
    <w:p w14:paraId="1EE7B8F1" w14:textId="77777777" w:rsidR="00257DE2"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3AAEB1F2" w14:textId="77777777" w:rsidR="00257DE2"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5AED53D3" w14:textId="77777777" w:rsidR="00257DE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1.单位性质：</w:t>
      </w:r>
    </w:p>
    <w:p w14:paraId="5DB5A75B" w14:textId="77777777" w:rsidR="00257DE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本单位为公益二类事业单位。</w:t>
      </w:r>
    </w:p>
    <w:p w14:paraId="1CE248DE" w14:textId="77777777" w:rsidR="00257DE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2.单位职责:</w:t>
      </w:r>
    </w:p>
    <w:p w14:paraId="30123B53" w14:textId="77777777" w:rsidR="00257DE2" w:rsidRDefault="00000000">
      <w:pPr>
        <w:ind w:firstLine="555"/>
        <w:rPr>
          <w:rFonts w:ascii="仿宋_GB2312" w:eastAsia="仿宋_GB2312"/>
          <w:color w:val="000000"/>
          <w:sz w:val="32"/>
          <w:szCs w:val="32"/>
        </w:rPr>
      </w:pPr>
      <w:r>
        <w:rPr>
          <w:rFonts w:ascii="仿宋_GB2312" w:eastAsia="仿宋_GB2312" w:hint="eastAsia"/>
          <w:color w:val="000000"/>
          <w:sz w:val="32"/>
          <w:szCs w:val="32"/>
        </w:rPr>
        <w:t>本单位坚持以习近平新时代中国特色社会主义思想为指导，全面贯彻党的二十</w:t>
      </w:r>
      <w:proofErr w:type="gramStart"/>
      <w:r>
        <w:rPr>
          <w:rFonts w:ascii="仿宋_GB2312" w:eastAsia="仿宋_GB2312" w:hint="eastAsia"/>
          <w:color w:val="000000"/>
          <w:sz w:val="32"/>
          <w:szCs w:val="32"/>
        </w:rPr>
        <w:t>大全会</w:t>
      </w:r>
      <w:proofErr w:type="gramEnd"/>
      <w:r>
        <w:rPr>
          <w:rFonts w:ascii="仿宋_GB2312" w:eastAsia="仿宋_GB2312" w:hint="eastAsia"/>
          <w:color w:val="000000"/>
          <w:sz w:val="32"/>
          <w:szCs w:val="32"/>
        </w:rPr>
        <w:t>精神，紧紧围绕统筹推进“五位一体”总体布局和协调推进“四个全面”战略布局，坚持新发展理念，牢牢把握首都城市战略定位，进行教育科学应用性研究和基础理论研究，进行北京市教育决策前期研究、教育发展战略研究和教育教学研究，为北京市教育改革和发展服务，为提高教育教学质量、提高教育管理和决策水平服务，为首都经济建设和社会发展服务。主要职能：</w:t>
      </w:r>
    </w:p>
    <w:p w14:paraId="467AAE5A" w14:textId="77777777" w:rsidR="00257DE2" w:rsidRDefault="00000000">
      <w:pPr>
        <w:ind w:firstLine="555"/>
        <w:rPr>
          <w:rFonts w:ascii="仿宋_GB2312" w:eastAsia="仿宋_GB2312"/>
          <w:color w:val="000000"/>
          <w:sz w:val="32"/>
          <w:szCs w:val="32"/>
        </w:rPr>
      </w:pPr>
      <w:r>
        <w:rPr>
          <w:rFonts w:ascii="仿宋_GB2312" w:eastAsia="仿宋_GB2312" w:hint="eastAsia"/>
          <w:color w:val="000000"/>
          <w:sz w:val="32"/>
          <w:szCs w:val="32"/>
        </w:rPr>
        <w:t>(1)组织、管理学前教育、基础教育、高等教育、职业教育、特殊教育、成人教育科学研究和教学研究工作；</w:t>
      </w:r>
    </w:p>
    <w:p w14:paraId="6B7F8C4F" w14:textId="77777777" w:rsidR="00257DE2" w:rsidRDefault="00000000">
      <w:pPr>
        <w:ind w:firstLine="555"/>
        <w:rPr>
          <w:rFonts w:ascii="仿宋_GB2312" w:eastAsia="仿宋_GB2312"/>
          <w:color w:val="000000"/>
          <w:sz w:val="32"/>
          <w:szCs w:val="32"/>
        </w:rPr>
      </w:pPr>
      <w:r>
        <w:rPr>
          <w:rFonts w:ascii="仿宋_GB2312" w:eastAsia="仿宋_GB2312" w:hint="eastAsia"/>
          <w:color w:val="000000"/>
          <w:sz w:val="32"/>
          <w:szCs w:val="32"/>
        </w:rPr>
        <w:t>(2)受国家和市行政部门委托，从事专题调查及专题教育科学研究、教育决策和宏观管理提供服务；</w:t>
      </w:r>
    </w:p>
    <w:p w14:paraId="173695D5" w14:textId="77777777" w:rsidR="00257DE2" w:rsidRDefault="00000000">
      <w:pPr>
        <w:ind w:firstLine="555"/>
        <w:rPr>
          <w:rFonts w:ascii="仿宋_GB2312" w:eastAsia="仿宋_GB2312"/>
          <w:color w:val="000000"/>
          <w:sz w:val="32"/>
          <w:szCs w:val="32"/>
        </w:rPr>
      </w:pPr>
      <w:r>
        <w:rPr>
          <w:rFonts w:ascii="仿宋_GB2312" w:eastAsia="仿宋_GB2312" w:hint="eastAsia"/>
          <w:color w:val="000000"/>
          <w:sz w:val="32"/>
          <w:szCs w:val="32"/>
        </w:rPr>
        <w:t>(3)推广科学研究成果，为我市教育改革、发展和提高（质量和效益）服务；</w:t>
      </w:r>
    </w:p>
    <w:p w14:paraId="241ECBD8" w14:textId="77777777" w:rsidR="00257DE2" w:rsidRDefault="00000000">
      <w:pPr>
        <w:ind w:firstLine="555"/>
        <w:rPr>
          <w:rFonts w:ascii="仿宋_GB2312" w:eastAsia="仿宋_GB2312"/>
          <w:color w:val="000000"/>
          <w:sz w:val="32"/>
          <w:szCs w:val="32"/>
        </w:rPr>
      </w:pPr>
      <w:r>
        <w:rPr>
          <w:rFonts w:ascii="仿宋_GB2312" w:eastAsia="仿宋_GB2312" w:hint="eastAsia"/>
          <w:color w:val="000000"/>
          <w:sz w:val="32"/>
          <w:szCs w:val="32"/>
        </w:rPr>
        <w:lastRenderedPageBreak/>
        <w:t>(4)负责北京市教育科学规划的编制和重点课题的管理；</w:t>
      </w:r>
    </w:p>
    <w:p w14:paraId="4C7EF18A" w14:textId="77777777" w:rsidR="00257DE2" w:rsidRDefault="00000000">
      <w:pPr>
        <w:ind w:firstLine="555"/>
        <w:rPr>
          <w:rFonts w:ascii="仿宋_GB2312" w:eastAsia="仿宋_GB2312"/>
          <w:color w:val="000000"/>
          <w:sz w:val="32"/>
          <w:szCs w:val="32"/>
        </w:rPr>
      </w:pPr>
      <w:r>
        <w:rPr>
          <w:rFonts w:ascii="仿宋_GB2312" w:eastAsia="仿宋_GB2312" w:hint="eastAsia"/>
          <w:color w:val="000000"/>
          <w:sz w:val="32"/>
          <w:szCs w:val="32"/>
        </w:rPr>
        <w:t>(5)搜集、整理教育信息，开展教育信息服务；</w:t>
      </w:r>
    </w:p>
    <w:p w14:paraId="3D050D54" w14:textId="77777777" w:rsidR="00257DE2" w:rsidRDefault="00000000">
      <w:pPr>
        <w:ind w:firstLine="555"/>
        <w:rPr>
          <w:rFonts w:ascii="仿宋_GB2312" w:eastAsia="仿宋_GB2312"/>
          <w:color w:val="000000"/>
          <w:sz w:val="32"/>
          <w:szCs w:val="32"/>
        </w:rPr>
      </w:pPr>
      <w:r>
        <w:rPr>
          <w:rFonts w:ascii="仿宋_GB2312" w:eastAsia="仿宋_GB2312" w:hint="eastAsia"/>
          <w:color w:val="000000"/>
          <w:sz w:val="32"/>
          <w:szCs w:val="32"/>
        </w:rPr>
        <w:t>(6)开展教育研究的国内外合作与交流工作；</w:t>
      </w:r>
    </w:p>
    <w:p w14:paraId="05DD3353" w14:textId="77777777" w:rsidR="00257DE2" w:rsidRDefault="00000000">
      <w:pPr>
        <w:ind w:firstLine="555"/>
        <w:rPr>
          <w:rFonts w:ascii="仿宋_GB2312" w:eastAsia="仿宋_GB2312"/>
          <w:color w:val="000000"/>
          <w:sz w:val="32"/>
          <w:szCs w:val="32"/>
        </w:rPr>
      </w:pPr>
      <w:r>
        <w:rPr>
          <w:rFonts w:ascii="仿宋_GB2312" w:eastAsia="仿宋_GB2312" w:hint="eastAsia"/>
          <w:color w:val="000000"/>
          <w:sz w:val="32"/>
          <w:szCs w:val="32"/>
        </w:rPr>
        <w:t>(7)研究基础教育、职业教育和成人教育的教材建设，承担中小学教材、职业教育教材以及各级各类成人教育教材的编写工作。</w:t>
      </w:r>
    </w:p>
    <w:p w14:paraId="1206A889" w14:textId="77777777" w:rsidR="00257DE2"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247C37C9"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本单位包括1个预算单位，即北京教育科学研究院(本级)。</w:t>
      </w:r>
    </w:p>
    <w:p w14:paraId="4C74CD58" w14:textId="77777777" w:rsidR="00257DE2" w:rsidRDefault="00000000">
      <w:pPr>
        <w:spacing w:line="560" w:lineRule="exact"/>
        <w:ind w:firstLineChars="200" w:firstLine="640"/>
        <w:rPr>
          <w:rFonts w:ascii="楷体_GB2312" w:eastAsia="楷体_GB2312"/>
          <w:color w:val="000000"/>
          <w:sz w:val="32"/>
          <w:szCs w:val="32"/>
        </w:rPr>
      </w:pPr>
      <w:r>
        <w:rPr>
          <w:rFonts w:ascii="仿宋_GB2312" w:eastAsia="仿宋_GB2312" w:hint="eastAsia"/>
          <w:sz w:val="32"/>
          <w:szCs w:val="32"/>
        </w:rPr>
        <w:t>本单位机构包括党政机构和业务机构两部分，其中:党政机关共7个部门，包括：办公室、组织宣传部、纪检监察处、人力资源开发与管理处、财务处、基建行政处、科教研管理与合作交流处（北京市教育科学规划领导小组办公室）。业务部门共12个部门，包括：教育发展研究中心、基础教育教学研究中心、基础教育科学研究所、基础教育课程教材发展研究中心、职业教育科学研究所、终身学习与可持续发展教育研究所、高等教育科学研究所、德育研究中心、早期教育研究所、教师研究中心、北京市特殊教育研究指导中心、期刊部。</w:t>
      </w:r>
    </w:p>
    <w:p w14:paraId="0974D4D0" w14:textId="77777777" w:rsidR="00257DE2"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6214D6AC" w14:textId="586E6A83" w:rsidR="00257DE2" w:rsidRDefault="00000000">
      <w:pPr>
        <w:ind w:firstLineChars="200" w:firstLine="640"/>
        <w:rPr>
          <w:rFonts w:ascii="仿宋_GB2312" w:eastAsia="仿宋_GB2312"/>
          <w:sz w:val="32"/>
          <w:szCs w:val="32"/>
        </w:rPr>
      </w:pPr>
      <w:r>
        <w:rPr>
          <w:rFonts w:ascii="仿宋_GB2312" w:eastAsia="仿宋_GB2312" w:hint="eastAsia"/>
          <w:color w:val="000000"/>
          <w:sz w:val="32"/>
          <w:szCs w:val="32"/>
        </w:rPr>
        <w:t>本单位</w:t>
      </w:r>
      <w:r w:rsidR="00D66184" w:rsidRPr="00D66184">
        <w:rPr>
          <w:rFonts w:ascii="仿宋_GB2312" w:eastAsia="仿宋_GB2312" w:hint="eastAsia"/>
          <w:color w:val="000000"/>
          <w:sz w:val="32"/>
          <w:szCs w:val="32"/>
        </w:rPr>
        <w:t>行政编制0人，实有人数0人；</w:t>
      </w:r>
      <w:r>
        <w:rPr>
          <w:rFonts w:ascii="仿宋_GB2312" w:eastAsia="仿宋_GB2312" w:hint="eastAsia"/>
          <w:color w:val="000000"/>
          <w:sz w:val="32"/>
          <w:szCs w:val="32"/>
        </w:rPr>
        <w:t>事业编制408人，实有人数371人；</w:t>
      </w:r>
      <w:r>
        <w:rPr>
          <w:rFonts w:ascii="仿宋_GB2312" w:eastAsia="仿宋_GB2312" w:hint="eastAsia"/>
          <w:sz w:val="32"/>
          <w:szCs w:val="32"/>
        </w:rPr>
        <w:t>离退休人员303人，其中：离休5人，退休298人</w:t>
      </w:r>
      <w:r w:rsidR="00D66184">
        <w:rPr>
          <w:rFonts w:ascii="仿宋_GB2312" w:eastAsia="仿宋_GB2312" w:hint="eastAsia"/>
          <w:color w:val="000000"/>
          <w:sz w:val="32"/>
          <w:szCs w:val="32"/>
        </w:rPr>
        <w:t>；其他人员无。</w:t>
      </w:r>
    </w:p>
    <w:p w14:paraId="547C7DA4" w14:textId="77777777" w:rsidR="00257DE2"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lastRenderedPageBreak/>
        <w:t>二、收入预算情况说明</w:t>
      </w:r>
    </w:p>
    <w:p w14:paraId="46ECF1C4" w14:textId="5E97D115"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2023年度收入预算19404.17万元，比2022年年初预算数20128.02万元减少723.85万元，下降3.60%。主要原因</w:t>
      </w:r>
      <w:r w:rsidR="006D19A6" w:rsidRPr="006D19A6">
        <w:rPr>
          <w:rFonts w:ascii="仿宋_GB2312" w:eastAsia="仿宋_GB2312" w:hint="eastAsia"/>
          <w:sz w:val="32"/>
          <w:szCs w:val="32"/>
        </w:rPr>
        <w:t>是根据事业发展需要调整项目安排</w:t>
      </w:r>
      <w:r>
        <w:rPr>
          <w:rFonts w:ascii="仿宋_GB2312" w:eastAsia="仿宋_GB2312" w:hint="eastAsia"/>
          <w:sz w:val="32"/>
          <w:szCs w:val="32"/>
        </w:rPr>
        <w:t>。</w:t>
      </w:r>
    </w:p>
    <w:p w14:paraId="0B03C958" w14:textId="77777777" w:rsidR="00257DE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（一）本年财政拨款收入16114.92万元</w:t>
      </w:r>
    </w:p>
    <w:p w14:paraId="2B4FDFFB"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1.一般公共预算拨款收入16114.92万元。</w:t>
      </w:r>
    </w:p>
    <w:p w14:paraId="32505DB3"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14:paraId="50277ABC"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159C6EEB" w14:textId="77777777" w:rsidR="00257DE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（二）本年其他资金收入2789.25万元</w:t>
      </w:r>
    </w:p>
    <w:p w14:paraId="2D57E113"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4.财政专户管理资金收入0万元。</w:t>
      </w:r>
    </w:p>
    <w:p w14:paraId="1F62561E"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5.事业收入630.00万元。</w:t>
      </w:r>
    </w:p>
    <w:p w14:paraId="1A8E89ED"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694E1872"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7.附属单位上缴收入2146.00万元。</w:t>
      </w:r>
    </w:p>
    <w:p w14:paraId="740CB4F6"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8.事业单位经营收入0万元。</w:t>
      </w:r>
    </w:p>
    <w:p w14:paraId="2687429F"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13.25</w:t>
      </w:r>
      <w:r>
        <w:rPr>
          <w:rFonts w:ascii="仿宋_GB2312" w:eastAsia="仿宋_GB2312" w:hint="eastAsia"/>
          <w:sz w:val="32"/>
          <w:szCs w:val="32"/>
        </w:rPr>
        <w:t>万元。</w:t>
      </w:r>
    </w:p>
    <w:p w14:paraId="2E138DFA" w14:textId="77777777" w:rsidR="00257DE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（三）上年结转结余500.00万元</w:t>
      </w:r>
    </w:p>
    <w:p w14:paraId="3F3A7CD9"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10.上年结转结余500.00万元。</w:t>
      </w:r>
    </w:p>
    <w:p w14:paraId="41D4602E" w14:textId="77777777" w:rsidR="00257DE2" w:rsidRDefault="00000000">
      <w:pPr>
        <w:pStyle w:val="2"/>
        <w:jc w:val="center"/>
        <w:rPr>
          <w:rFonts w:ascii="仿宋_GB2312" w:eastAsia="仿宋_GB2312"/>
          <w:b w:val="0"/>
          <w:bCs w:val="0"/>
          <w:sz w:val="32"/>
        </w:rPr>
      </w:pPr>
      <w:r>
        <w:rPr>
          <w:rFonts w:ascii="仿宋_GB2312" w:eastAsia="仿宋_GB2312" w:hint="eastAsia"/>
          <w:sz w:val="32"/>
        </w:rPr>
        <w:lastRenderedPageBreak/>
        <w:t>图1：收入预算</w:t>
      </w:r>
    </w:p>
    <w:p w14:paraId="0B7AAC44" w14:textId="77777777" w:rsidR="00257DE2" w:rsidRDefault="00000000">
      <w:pPr>
        <w:pStyle w:val="2"/>
        <w:jc w:val="center"/>
      </w:pPr>
      <w:r>
        <w:rPr>
          <w:noProof/>
        </w:rPr>
        <w:drawing>
          <wp:inline distT="0" distB="0" distL="0" distR="0" wp14:anchorId="7613B3C9" wp14:editId="6CE520E6">
            <wp:extent cx="4572000" cy="2743200"/>
            <wp:effectExtent l="0" t="0" r="19050" b="1905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C2F6139" w14:textId="77777777" w:rsidR="00257DE2"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138ED61D" w14:textId="77777777" w:rsidR="006D19A6" w:rsidRDefault="00000000" w:rsidP="006D19A6">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2023年支出预算19404.17万元，比2022年年初预算数20128.02万元减少723.85万元，下降3.60%。</w:t>
      </w:r>
      <w:r w:rsidR="006D19A6">
        <w:rPr>
          <w:rFonts w:ascii="仿宋_GB2312" w:eastAsia="仿宋_GB2312" w:hint="eastAsia"/>
          <w:sz w:val="32"/>
          <w:szCs w:val="32"/>
        </w:rPr>
        <w:t>主要原因</w:t>
      </w:r>
      <w:r w:rsidR="006D19A6" w:rsidRPr="006D19A6">
        <w:rPr>
          <w:rFonts w:ascii="仿宋_GB2312" w:eastAsia="仿宋_GB2312" w:hint="eastAsia"/>
          <w:sz w:val="32"/>
          <w:szCs w:val="32"/>
        </w:rPr>
        <w:t>是根据事业发展需要调整项目安排</w:t>
      </w:r>
      <w:r w:rsidR="006D19A6">
        <w:rPr>
          <w:rFonts w:ascii="仿宋_GB2312" w:eastAsia="仿宋_GB2312" w:hint="eastAsia"/>
          <w:sz w:val="32"/>
          <w:szCs w:val="32"/>
        </w:rPr>
        <w:t>。</w:t>
      </w:r>
    </w:p>
    <w:p w14:paraId="0134D177" w14:textId="69B8C969" w:rsidR="00257DE2" w:rsidRPr="001309AB" w:rsidRDefault="00000000">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w:t>
      </w:r>
      <w:proofErr w:type="gramStart"/>
      <w:r>
        <w:rPr>
          <w:rFonts w:ascii="楷体_GB2312" w:eastAsia="楷体_GB2312" w:hAnsi="楷体_GB2312" w:cs="楷体_GB2312" w:hint="eastAsia"/>
          <w:sz w:val="32"/>
          <w:szCs w:val="32"/>
        </w:rPr>
        <w:t>一</w:t>
      </w:r>
      <w:proofErr w:type="gramEnd"/>
      <w:r>
        <w:rPr>
          <w:rFonts w:ascii="楷体_GB2312" w:eastAsia="楷体_GB2312" w:hAnsi="楷体_GB2312" w:cs="楷体_GB2312" w:hint="eastAsia"/>
          <w:sz w:val="32"/>
          <w:szCs w:val="32"/>
        </w:rPr>
        <w:t>)基本支出。</w:t>
      </w:r>
      <w:r w:rsidRPr="001309AB">
        <w:rPr>
          <w:rFonts w:ascii="仿宋_GB2312" w:eastAsia="仿宋_GB2312" w:hint="eastAsia"/>
          <w:sz w:val="32"/>
          <w:szCs w:val="32"/>
        </w:rPr>
        <w:t>基本支出预算18262.17万元，占总支出预算94.11%，比2022年年初预算数</w:t>
      </w:r>
      <w:r w:rsidRPr="001309AB">
        <w:rPr>
          <w:rFonts w:ascii="仿宋_GB2312" w:eastAsia="仿宋_GB2312" w:hAnsi="仿宋" w:hint="eastAsia"/>
          <w:sz w:val="32"/>
          <w:szCs w:val="32"/>
        </w:rPr>
        <w:t>17233.36</w:t>
      </w:r>
      <w:r w:rsidRPr="001309AB">
        <w:rPr>
          <w:rFonts w:ascii="仿宋_GB2312" w:eastAsia="仿宋_GB2312" w:hint="eastAsia"/>
          <w:sz w:val="32"/>
          <w:szCs w:val="32"/>
        </w:rPr>
        <w:t>万元增加1028.81万元，增长5.97%。</w:t>
      </w:r>
    </w:p>
    <w:p w14:paraId="62546F56" w14:textId="77777777" w:rsidR="00257DE2" w:rsidRPr="00E16038" w:rsidRDefault="00000000">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（二）项目支出。</w:t>
      </w:r>
      <w:r w:rsidRPr="00E16038">
        <w:rPr>
          <w:rFonts w:ascii="仿宋_GB2312" w:eastAsia="仿宋_GB2312" w:hint="eastAsia"/>
          <w:sz w:val="32"/>
          <w:szCs w:val="32"/>
        </w:rPr>
        <w:t>项目支出预算1142.00万元，比2022年年初预算数</w:t>
      </w:r>
      <w:r w:rsidRPr="00E16038">
        <w:rPr>
          <w:rFonts w:ascii="仿宋_GB2312" w:eastAsia="仿宋_GB2312" w:hAnsi="仿宋" w:hint="eastAsia"/>
          <w:sz w:val="32"/>
          <w:szCs w:val="32"/>
        </w:rPr>
        <w:t>2894.66</w:t>
      </w:r>
      <w:r w:rsidRPr="00E16038">
        <w:rPr>
          <w:rFonts w:ascii="仿宋_GB2312" w:eastAsia="仿宋_GB2312" w:hint="eastAsia"/>
          <w:sz w:val="32"/>
          <w:szCs w:val="32"/>
        </w:rPr>
        <w:t>万元减少1752.66万元，下降60.55%。其中：</w:t>
      </w:r>
    </w:p>
    <w:p w14:paraId="5C401D6B" w14:textId="77777777" w:rsidR="00257DE2"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14:paraId="22B57BBF" w14:textId="77777777" w:rsidR="00257DE2"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14:paraId="27591B1D" w14:textId="77777777" w:rsidR="00257DE2"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14:paraId="20720160" w14:textId="77777777" w:rsidR="00257DE2" w:rsidRDefault="00000000">
      <w:pPr>
        <w:pStyle w:val="2"/>
        <w:ind w:firstLine="642"/>
        <w:jc w:val="center"/>
        <w:rPr>
          <w:rFonts w:ascii="仿宋_GB2312" w:eastAsia="仿宋_GB2312"/>
          <w:sz w:val="32"/>
        </w:rPr>
      </w:pPr>
      <w:r>
        <w:rPr>
          <w:rFonts w:ascii="仿宋_GB2312" w:eastAsia="仿宋_GB2312" w:hint="eastAsia"/>
          <w:sz w:val="32"/>
        </w:rPr>
        <w:lastRenderedPageBreak/>
        <w:t>图2：基本支出和项目支出情况</w:t>
      </w:r>
    </w:p>
    <w:p w14:paraId="50AB918C" w14:textId="77777777" w:rsidR="00257DE2" w:rsidRDefault="00257DE2"/>
    <w:p w14:paraId="60FB813F" w14:textId="77777777" w:rsidR="00257DE2" w:rsidRDefault="00000000">
      <w:pPr>
        <w:pStyle w:val="2"/>
        <w:jc w:val="center"/>
      </w:pPr>
      <w:r>
        <w:rPr>
          <w:noProof/>
        </w:rPr>
        <w:drawing>
          <wp:inline distT="0" distB="0" distL="0" distR="0" wp14:anchorId="2D2C1390" wp14:editId="0EF74678">
            <wp:extent cx="4572000" cy="27432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B9A427A" w14:textId="77777777" w:rsidR="00257DE2"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57F50E12" w14:textId="77777777" w:rsidR="00257DE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6F29BAE1" w14:textId="0FF34A6E"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本单位因公出国（境）费用、公务接待费、公务用车购置和运行维护费开支单位包括北京教育科学研究院1个所属单位。其他所属单位2023年无财政拨款安排的“三公”经费预算。</w:t>
      </w:r>
    </w:p>
    <w:p w14:paraId="2EF32A9F" w14:textId="77777777" w:rsidR="00257DE2" w:rsidRDefault="00000000">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41B6EA5B"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2023年财政拨款“三公”经费预算30.29万元，比2022年财政拨款“三公”经费预算减少0.01万元。其中：</w:t>
      </w:r>
    </w:p>
    <w:p w14:paraId="214981AC" w14:textId="4DCC404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1.因公出国（境）费用。2023年预算数0万元，</w:t>
      </w:r>
      <w:r>
        <w:rPr>
          <w:rFonts w:ascii="仿宋" w:eastAsia="仿宋" w:hAnsi="仿宋" w:hint="eastAsia"/>
          <w:sz w:val="32"/>
          <w:szCs w:val="32"/>
        </w:rPr>
        <w:t>与2022年持平。</w:t>
      </w:r>
    </w:p>
    <w:p w14:paraId="1C006A72"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2.公务接待费。2023年预算数0.29万元，比2022年年初预算数0.30万元减少0.01万元，主要原因：落实政府“过</w:t>
      </w:r>
      <w:r>
        <w:rPr>
          <w:rFonts w:ascii="仿宋_GB2312" w:eastAsia="仿宋_GB2312" w:hint="eastAsia"/>
          <w:sz w:val="32"/>
          <w:szCs w:val="32"/>
        </w:rPr>
        <w:lastRenderedPageBreak/>
        <w:t>紧日子”要求，进一步压减一般性支出。</w:t>
      </w:r>
    </w:p>
    <w:p w14:paraId="57004B6A" w14:textId="0A0B5095"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30.00万元，其中，公务用车购置费2023年预算数0万元，与2022年持平；公务用车运行维护费2023年预算数30.00万元，其中：公务用车燃油15.90万元，公务用车维修5.10万元，公务用车保险5.10万元，其他支出3.90万元。公务用车运行维护费2023年预算数与2022年持平。</w:t>
      </w:r>
    </w:p>
    <w:p w14:paraId="4159FD98" w14:textId="77777777" w:rsidR="00257DE2"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34629320" w14:textId="77777777" w:rsidR="00257DE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44B30379"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2023年本单位政府采购预算总额591.74万元，其中：政府采购货物预算13.80万元，政府采购工程预算0万元，政府采购服务预算577.94万元。</w:t>
      </w:r>
    </w:p>
    <w:p w14:paraId="2299126C" w14:textId="77777777" w:rsidR="00257DE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65648E6D" w14:textId="77777777" w:rsidR="00257DE2" w:rsidRDefault="00000000">
      <w:pPr>
        <w:ind w:firstLine="600"/>
        <w:rPr>
          <w:rFonts w:ascii="仿宋_GB2312" w:eastAsia="仿宋_GB2312"/>
          <w:sz w:val="32"/>
          <w:szCs w:val="32"/>
        </w:rPr>
      </w:pPr>
      <w:r>
        <w:rPr>
          <w:rFonts w:ascii="仿宋_GB2312" w:eastAsia="仿宋_GB2312" w:hint="eastAsia"/>
          <w:sz w:val="32"/>
          <w:szCs w:val="32"/>
        </w:rPr>
        <w:t>2023年本单位</w:t>
      </w:r>
      <w:r>
        <w:rPr>
          <w:rFonts w:ascii="仿宋" w:eastAsia="仿宋" w:hAnsi="仿宋" w:hint="eastAsia"/>
          <w:sz w:val="32"/>
          <w:szCs w:val="32"/>
        </w:rPr>
        <w:t>无政府购买服务预算</w:t>
      </w:r>
      <w:r>
        <w:rPr>
          <w:rFonts w:ascii="仿宋_GB2312" w:eastAsia="仿宋_GB2312" w:hint="eastAsia"/>
          <w:sz w:val="32"/>
          <w:szCs w:val="32"/>
        </w:rPr>
        <w:t>。</w:t>
      </w:r>
    </w:p>
    <w:p w14:paraId="5DB8D997" w14:textId="77777777" w:rsidR="00257DE2" w:rsidRDefault="00000000">
      <w:pPr>
        <w:ind w:firstLine="600"/>
        <w:rPr>
          <w:rFonts w:ascii="仿宋_GB2312" w:eastAsia="仿宋_GB2312"/>
          <w:sz w:val="32"/>
          <w:szCs w:val="32"/>
        </w:rPr>
      </w:pPr>
      <w:r>
        <w:rPr>
          <w:rFonts w:ascii="楷体_GB2312" w:eastAsia="楷体_GB2312" w:hint="eastAsia"/>
          <w:sz w:val="32"/>
          <w:szCs w:val="32"/>
        </w:rPr>
        <w:t>（三）机关运行经费说明</w:t>
      </w:r>
    </w:p>
    <w:p w14:paraId="17806893" w14:textId="77777777" w:rsidR="00257DE2" w:rsidRDefault="00000000">
      <w:pPr>
        <w:ind w:firstLine="600"/>
        <w:rPr>
          <w:rFonts w:ascii="仿宋_GB2312" w:eastAsia="仿宋_GB2312"/>
          <w:sz w:val="32"/>
          <w:szCs w:val="32"/>
        </w:rPr>
      </w:pPr>
      <w:r>
        <w:rPr>
          <w:rFonts w:ascii="仿宋_GB2312" w:eastAsia="仿宋_GB2312" w:hint="eastAsia"/>
          <w:sz w:val="32"/>
          <w:szCs w:val="32"/>
        </w:rPr>
        <w:t>本单位</w:t>
      </w:r>
      <w:r>
        <w:rPr>
          <w:rFonts w:ascii="仿宋" w:eastAsia="仿宋" w:hAnsi="仿宋" w:hint="eastAsia"/>
          <w:sz w:val="32"/>
          <w:szCs w:val="32"/>
        </w:rPr>
        <w:t>不在机关运行经费统计范围之内</w:t>
      </w:r>
      <w:r>
        <w:rPr>
          <w:rFonts w:ascii="仿宋_GB2312" w:eastAsia="仿宋_GB2312" w:hint="eastAsia"/>
          <w:sz w:val="32"/>
          <w:szCs w:val="32"/>
        </w:rPr>
        <w:t>。</w:t>
      </w:r>
    </w:p>
    <w:p w14:paraId="34388667" w14:textId="77777777" w:rsidR="00257DE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7788DD54" w14:textId="77777777" w:rsidR="00257DE2"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2023年，本单位填报绩效目标的预算项目2个，占本单位本年预算项目2个的100%。填报绩效目标的项目支出预算1142.00万元，占本单位本年项目支出预算的100%。</w:t>
      </w:r>
    </w:p>
    <w:p w14:paraId="589FDD65" w14:textId="77777777" w:rsidR="00257DE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07FD4B87" w14:textId="77777777" w:rsidR="00257DE2" w:rsidRDefault="00000000">
      <w:pPr>
        <w:spacing w:line="560" w:lineRule="exact"/>
        <w:ind w:firstLineChars="150" w:firstLine="480"/>
        <w:rPr>
          <w:rFonts w:ascii="仿宋_GB2312" w:eastAsia="仿宋_GB2312"/>
          <w:sz w:val="32"/>
          <w:szCs w:val="32"/>
        </w:rPr>
      </w:pPr>
      <w:r>
        <w:rPr>
          <w:rFonts w:ascii="仿宋_GB2312" w:eastAsia="仿宋_GB2312" w:hint="eastAsia"/>
          <w:sz w:val="32"/>
          <w:szCs w:val="32"/>
        </w:rPr>
        <w:t>本单位2023年无重点行政事业性收费。</w:t>
      </w:r>
    </w:p>
    <w:p w14:paraId="1B4739BC" w14:textId="77777777" w:rsidR="00257DE2"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167EA3E9" w14:textId="77777777" w:rsidR="00257DE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w:t>
      </w:r>
      <w:r>
        <w:rPr>
          <w:rFonts w:ascii="仿宋_GB2312" w:eastAsia="仿宋_GB2312" w:hint="eastAsia"/>
          <w:color w:val="000000"/>
          <w:sz w:val="32"/>
          <w:szCs w:val="32"/>
        </w:rPr>
        <w:lastRenderedPageBreak/>
        <w:t>算。</w:t>
      </w:r>
    </w:p>
    <w:p w14:paraId="1362E77B" w14:textId="77777777" w:rsidR="00257DE2"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5457183F" w14:textId="77777777" w:rsidR="00257DE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截至2022年底，本单位共有车辆13台，共计248.10万元；单位价值50万元以上的通用设备0台（套），共计0万元，单位价值100万元以上的专用设备0台（套）、共计0万元。</w:t>
      </w:r>
    </w:p>
    <w:p w14:paraId="2C4A1C6D" w14:textId="77777777" w:rsidR="00257DE2"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32315EE2" w14:textId="77777777" w:rsidR="00257DE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684E0EC8" w14:textId="77777777" w:rsidR="00257DE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4D50B81C" w14:textId="77777777" w:rsidR="00257DE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062AC887" w14:textId="77777777" w:rsidR="00C65082" w:rsidRDefault="00C65082">
      <w:pPr>
        <w:spacing w:line="560" w:lineRule="exact"/>
        <w:jc w:val="center"/>
        <w:rPr>
          <w:rFonts w:ascii="方正小标宋简体" w:eastAsia="方正小标宋简体"/>
          <w:color w:val="000000"/>
          <w:sz w:val="36"/>
          <w:szCs w:val="36"/>
        </w:rPr>
        <w:sectPr w:rsidR="00C65082">
          <w:pgSz w:w="11906" w:h="16838"/>
          <w:pgMar w:top="1440" w:right="1800" w:bottom="1440" w:left="1800" w:header="851" w:footer="992" w:gutter="0"/>
          <w:cols w:space="425"/>
          <w:docGrid w:type="lines" w:linePitch="312"/>
        </w:sectPr>
      </w:pPr>
    </w:p>
    <w:p w14:paraId="6CF36C8B" w14:textId="77777777" w:rsidR="00257DE2"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19805E8" w14:textId="77777777" w:rsidR="00257DE2" w:rsidRDefault="00257DE2">
      <w:pPr>
        <w:autoSpaceDE w:val="0"/>
        <w:autoSpaceDN w:val="0"/>
        <w:adjustRightInd w:val="0"/>
        <w:spacing w:line="560" w:lineRule="exact"/>
        <w:jc w:val="left"/>
        <w:rPr>
          <w:rFonts w:ascii="方正小标宋简体" w:eastAsia="方正小标宋简体"/>
          <w:color w:val="000000"/>
          <w:sz w:val="36"/>
          <w:szCs w:val="36"/>
        </w:rPr>
      </w:pPr>
    </w:p>
    <w:p w14:paraId="50278765" w14:textId="77777777" w:rsidR="00257DE2"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附件：北京教育科学研究院2023年度单位预算报表</w:t>
      </w:r>
      <w:r>
        <w:rPr>
          <w:rFonts w:ascii="仿宋_GB2312" w:eastAsia="仿宋_GB2312" w:cs="宋体" w:hint="eastAsia"/>
          <w:color w:val="000000"/>
          <w:kern w:val="0"/>
          <w:sz w:val="32"/>
          <w:szCs w:val="32"/>
          <w:lang w:val="zh-CN"/>
        </w:rPr>
        <w:t xml:space="preserve"> </w:t>
      </w:r>
    </w:p>
    <w:p w14:paraId="17822009" w14:textId="77777777" w:rsidR="00257DE2" w:rsidRDefault="00257DE2"/>
    <w:sectPr w:rsidR="00257D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70779" w14:textId="77777777" w:rsidR="00CA48DF" w:rsidRDefault="00CA48DF">
      <w:r>
        <w:separator/>
      </w:r>
    </w:p>
  </w:endnote>
  <w:endnote w:type="continuationSeparator" w:id="0">
    <w:p w14:paraId="639D2DD4" w14:textId="77777777" w:rsidR="00CA48DF" w:rsidRDefault="00CA4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6838B" w14:textId="77777777" w:rsidR="00257DE2" w:rsidRDefault="00000000">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2429AA98" wp14:editId="6D8254D2">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3BFCE0B2" w14:textId="77777777" w:rsidR="00257DE2"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2429AA98"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3BFCE0B2" w14:textId="77777777" w:rsidR="00257DE2"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p>
                </w:txbxContent>
              </v:textbox>
              <w10:wrap anchorx="margin"/>
            </v:shape>
          </w:pict>
        </mc:Fallback>
      </mc:AlternateContent>
    </w:r>
  </w:p>
  <w:p w14:paraId="32C117A1" w14:textId="77777777" w:rsidR="00257DE2" w:rsidRDefault="00257DE2">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4F65B" w14:textId="77777777" w:rsidR="00CA48DF" w:rsidRDefault="00CA48DF">
      <w:r>
        <w:separator/>
      </w:r>
    </w:p>
  </w:footnote>
  <w:footnote w:type="continuationSeparator" w:id="0">
    <w:p w14:paraId="36ED434D" w14:textId="77777777" w:rsidR="00CA48DF" w:rsidRDefault="00CA48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k3YzUxOTc2MTAyNGNjZTU1YWUwNTU5OGI2YTZkODUifQ=="/>
  </w:docVars>
  <w:rsids>
    <w:rsidRoot w:val="00D263AC"/>
    <w:rsid w:val="000173FD"/>
    <w:rsid w:val="00027D00"/>
    <w:rsid w:val="00074AE9"/>
    <w:rsid w:val="000F4A4F"/>
    <w:rsid w:val="001309AB"/>
    <w:rsid w:val="0016712E"/>
    <w:rsid w:val="002071FB"/>
    <w:rsid w:val="002527BC"/>
    <w:rsid w:val="00255E4C"/>
    <w:rsid w:val="00257DE2"/>
    <w:rsid w:val="002C4261"/>
    <w:rsid w:val="003109CA"/>
    <w:rsid w:val="003133AB"/>
    <w:rsid w:val="0035069B"/>
    <w:rsid w:val="003564B2"/>
    <w:rsid w:val="00373C88"/>
    <w:rsid w:val="003A29C3"/>
    <w:rsid w:val="003B3A9C"/>
    <w:rsid w:val="003B3D68"/>
    <w:rsid w:val="003F131F"/>
    <w:rsid w:val="00433DEF"/>
    <w:rsid w:val="00456957"/>
    <w:rsid w:val="004C46EB"/>
    <w:rsid w:val="004F4B38"/>
    <w:rsid w:val="005A05E6"/>
    <w:rsid w:val="005A1B52"/>
    <w:rsid w:val="005B76FE"/>
    <w:rsid w:val="005F2CF1"/>
    <w:rsid w:val="00615900"/>
    <w:rsid w:val="00664D2D"/>
    <w:rsid w:val="006D19A6"/>
    <w:rsid w:val="006E4F81"/>
    <w:rsid w:val="00756571"/>
    <w:rsid w:val="00762D53"/>
    <w:rsid w:val="007B45E4"/>
    <w:rsid w:val="00835F23"/>
    <w:rsid w:val="008539F5"/>
    <w:rsid w:val="009116FA"/>
    <w:rsid w:val="00994BAC"/>
    <w:rsid w:val="00A023B1"/>
    <w:rsid w:val="00A16967"/>
    <w:rsid w:val="00A16BB7"/>
    <w:rsid w:val="00A23FE5"/>
    <w:rsid w:val="00A36E25"/>
    <w:rsid w:val="00A70F8C"/>
    <w:rsid w:val="00AC731C"/>
    <w:rsid w:val="00B641D5"/>
    <w:rsid w:val="00C6411D"/>
    <w:rsid w:val="00C65082"/>
    <w:rsid w:val="00CA48DF"/>
    <w:rsid w:val="00D126F2"/>
    <w:rsid w:val="00D263AC"/>
    <w:rsid w:val="00D6140F"/>
    <w:rsid w:val="00D66184"/>
    <w:rsid w:val="00DD2904"/>
    <w:rsid w:val="00E0240E"/>
    <w:rsid w:val="00E05A93"/>
    <w:rsid w:val="00E07052"/>
    <w:rsid w:val="00E16038"/>
    <w:rsid w:val="00E27901"/>
    <w:rsid w:val="00E51F32"/>
    <w:rsid w:val="00EA2812"/>
    <w:rsid w:val="00F748D8"/>
    <w:rsid w:val="39C2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2C568"/>
  <w15:docId w15:val="{F5B580DA-0381-48D6-9F64-F08068D5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20">
    <w:name w:val="标题 2 字符"/>
    <w:basedOn w:val="a0"/>
    <w:link w:val="2"/>
    <w:rPr>
      <w:rFonts w:ascii="Cambria" w:eastAsia="黑体" w:hAnsi="Cambria" w:cs="Times New Roman"/>
      <w:b/>
      <w:bCs/>
      <w:kern w:val="0"/>
      <w:sz w:val="36"/>
      <w:szCs w:val="32"/>
    </w:rPr>
  </w:style>
  <w:style w:type="character" w:customStyle="1" w:styleId="a4">
    <w:name w:val="批注框文本 字符"/>
    <w:basedOn w:val="a0"/>
    <w:link w:val="a3"/>
    <w:uiPriority w:val="99"/>
    <w:semiHidden/>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E:\&#25945;&#31185;&#38498;\&#24037;&#20316;\2023\2&#39044;&#31639;&#20844;&#24320;\2023&#24180;&#20108;&#32423;&#39044;&#31639;&#21333;&#20301;&#20449;&#24687;&#20844;&#24320;&#22522;&#30784;&#25968;&#25454;\021037&#21271;&#20140;&#25945;&#32946;&#31185;&#23398;&#30740;&#31350;&#3849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25945;&#31185;&#38498;\&#24037;&#20316;\2023\2&#39044;&#31639;&#20844;&#24320;\2023&#24180;&#20108;&#32423;&#39044;&#31639;&#21333;&#20301;&#20449;&#24687;&#20844;&#24320;&#22522;&#30784;&#25968;&#25454;\021037&#21271;&#20140;&#25945;&#32946;&#31185;&#23398;&#30740;&#31350;&#3849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extLst>
              <c:ext xmlns:c16="http://schemas.microsoft.com/office/drawing/2014/chart" uri="{C3380CC4-5D6E-409C-BE32-E72D297353CC}">
                <c16:uniqueId val="{00000000-2571-49F2-80EE-F7686661FAED}"/>
              </c:ext>
            </c:extLst>
          </c:dPt>
          <c:dPt>
            <c:idx val="1"/>
            <c:bubble3D val="0"/>
            <c:extLst>
              <c:ext xmlns:c16="http://schemas.microsoft.com/office/drawing/2014/chart" uri="{C3380CC4-5D6E-409C-BE32-E72D297353CC}">
                <c16:uniqueId val="{00000001-2571-49F2-80EE-F7686661FAED}"/>
              </c:ext>
            </c:extLst>
          </c:dPt>
          <c:dPt>
            <c:idx val="2"/>
            <c:bubble3D val="0"/>
            <c:extLst>
              <c:ext xmlns:c16="http://schemas.microsoft.com/office/drawing/2014/chart" uri="{C3380CC4-5D6E-409C-BE32-E72D297353CC}">
                <c16:uniqueId val="{00000002-2571-49F2-80EE-F7686661FAED}"/>
              </c:ext>
            </c:extLst>
          </c:dPt>
          <c:dPt>
            <c:idx val="3"/>
            <c:bubble3D val="0"/>
            <c:extLst>
              <c:ext xmlns:c16="http://schemas.microsoft.com/office/drawing/2014/chart" uri="{C3380CC4-5D6E-409C-BE32-E72D297353CC}">
                <c16:uniqueId val="{00000003-2571-49F2-80EE-F7686661FAED}"/>
              </c:ext>
            </c:extLst>
          </c:dPt>
          <c:dPt>
            <c:idx val="4"/>
            <c:bubble3D val="0"/>
            <c:extLst>
              <c:ext xmlns:c16="http://schemas.microsoft.com/office/drawing/2014/chart" uri="{C3380CC4-5D6E-409C-BE32-E72D297353CC}">
                <c16:uniqueId val="{00000004-2571-49F2-80EE-F7686661FAED}"/>
              </c:ext>
            </c:extLst>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Sheet1!$A$3:$A$7</c:f>
              <c:strCache>
                <c:ptCount val="5"/>
                <c:pt idx="0">
                  <c:v>一般公共预算拨款收入</c:v>
                </c:pt>
                <c:pt idx="1">
                  <c:v>事业收入</c:v>
                </c:pt>
                <c:pt idx="2">
                  <c:v>附属单位上缴收入</c:v>
                </c:pt>
                <c:pt idx="3">
                  <c:v>其他收入</c:v>
                </c:pt>
                <c:pt idx="4">
                  <c:v>上年结转结余</c:v>
                </c:pt>
              </c:strCache>
            </c:strRef>
          </c:cat>
          <c:val>
            <c:numRef>
              <c:f>Sheet1!$B$3:$B$7</c:f>
              <c:numCache>
                <c:formatCode>0.00%</c:formatCode>
                <c:ptCount val="5"/>
                <c:pt idx="0">
                  <c:v>0.83050000000000002</c:v>
                </c:pt>
                <c:pt idx="1">
                  <c:v>3.2500000000000001E-2</c:v>
                </c:pt>
                <c:pt idx="2">
                  <c:v>0.1106</c:v>
                </c:pt>
                <c:pt idx="3">
                  <c:v>6.9999999999999999E-4</c:v>
                </c:pt>
                <c:pt idx="4">
                  <c:v>2.5700000000000001E-2</c:v>
                </c:pt>
              </c:numCache>
            </c:numRef>
          </c:val>
          <c:extLst>
            <c:ext xmlns:c16="http://schemas.microsoft.com/office/drawing/2014/chart" uri="{C3380CC4-5D6E-409C-BE32-E72D297353CC}">
              <c16:uniqueId val="{00000005-2571-49F2-80EE-F7686661FAED}"/>
            </c:ext>
          </c:extLst>
        </c:ser>
        <c:dLbls>
          <c:showLegendKey val="0"/>
          <c:showVal val="0"/>
          <c:showCatName val="0"/>
          <c:showSerName val="0"/>
          <c:showPercent val="1"/>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extLst>
              <c:ext xmlns:c16="http://schemas.microsoft.com/office/drawing/2014/chart" uri="{C3380CC4-5D6E-409C-BE32-E72D297353CC}">
                <c16:uniqueId val="{00000000-566D-435D-8FFB-C05DB27E7D09}"/>
              </c:ext>
            </c:extLst>
          </c:dPt>
          <c:dPt>
            <c:idx val="1"/>
            <c:bubble3D val="0"/>
            <c:extLst>
              <c:ext xmlns:c16="http://schemas.microsoft.com/office/drawing/2014/chart" uri="{C3380CC4-5D6E-409C-BE32-E72D297353CC}">
                <c16:uniqueId val="{00000001-566D-435D-8FFB-C05DB27E7D09}"/>
              </c:ext>
            </c:extLst>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Sheet1!$A$29:$A$30</c:f>
              <c:strCache>
                <c:ptCount val="2"/>
                <c:pt idx="0">
                  <c:v>基本支出</c:v>
                </c:pt>
                <c:pt idx="1">
                  <c:v>项目支出</c:v>
                </c:pt>
              </c:strCache>
            </c:strRef>
          </c:cat>
          <c:val>
            <c:numRef>
              <c:f>Sheet1!$B$29:$B$30</c:f>
              <c:numCache>
                <c:formatCode>0.00%</c:formatCode>
                <c:ptCount val="2"/>
                <c:pt idx="0">
                  <c:v>0.94114667105060401</c:v>
                </c:pt>
                <c:pt idx="1">
                  <c:v>5.8853328949395899E-2</c:v>
                </c:pt>
              </c:numCache>
            </c:numRef>
          </c:val>
          <c:extLst>
            <c:ext xmlns:c16="http://schemas.microsoft.com/office/drawing/2014/chart" uri="{C3380CC4-5D6E-409C-BE32-E72D297353CC}">
              <c16:uniqueId val="{00000002-566D-435D-8FFB-C05DB27E7D09}"/>
            </c:ext>
          </c:extLst>
        </c:ser>
        <c:dLbls>
          <c:showLegendKey val="0"/>
          <c:showVal val="0"/>
          <c:showCatName val="0"/>
          <c:showSerName val="0"/>
          <c:showPercent val="0"/>
          <c:showBubbleSize val="0"/>
          <c:showLeaderLines val="1"/>
        </c:dLbls>
        <c:firstSliceAng val="0"/>
      </c:pieChart>
    </c:plotArea>
    <c:legend>
      <c:legendPos val="b"/>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9</Pages>
  <Words>449</Words>
  <Characters>2561</Characters>
  <Application>Microsoft Office Word</Application>
  <DocSecurity>0</DocSecurity>
  <Lines>21</Lines>
  <Paragraphs>6</Paragraphs>
  <ScaleCrop>false</ScaleCrop>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58</cp:revision>
  <dcterms:created xsi:type="dcterms:W3CDTF">2023-02-15T02:41:00Z</dcterms:created>
  <dcterms:modified xsi:type="dcterms:W3CDTF">2023-03-08T02:01:00Z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5216566A36064AC8A1327FCAC6A79169</vt:lpwstr>
  </property>
</Properties>
</file>