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A2C42" w14:textId="77777777" w:rsidR="00F52CCA" w:rsidRDefault="006456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t>北京市盲人学校2023年财政预算信息公开</w:t>
      </w:r>
    </w:p>
    <w:p w14:paraId="5690A1CC" w14:textId="77777777" w:rsidR="00F52CCA" w:rsidRDefault="00F52CCA">
      <w:pPr>
        <w:spacing w:line="240" w:lineRule="exact"/>
        <w:jc w:val="center"/>
        <w:rPr>
          <w:rFonts w:ascii="方正小标宋简体" w:eastAsia="方正小标宋简体"/>
          <w:color w:val="000000"/>
          <w:sz w:val="32"/>
          <w:szCs w:val="32"/>
        </w:rPr>
      </w:pPr>
    </w:p>
    <w:p w14:paraId="059BFD2F" w14:textId="77777777" w:rsidR="00F52CCA" w:rsidRDefault="006456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2"/>
          <w:szCs w:val="32"/>
        </w:rPr>
        <w:t>目   录</w:t>
      </w:r>
    </w:p>
    <w:p w14:paraId="4C4CA108" w14:textId="77777777" w:rsidR="00F52CCA" w:rsidRDefault="00F52CCA">
      <w:pPr>
        <w:spacing w:line="240" w:lineRule="exact"/>
        <w:jc w:val="center"/>
        <w:rPr>
          <w:rFonts w:ascii="方正小标宋简体" w:eastAsia="方正小标宋简体"/>
          <w:color w:val="000000"/>
          <w:sz w:val="32"/>
          <w:szCs w:val="32"/>
        </w:rPr>
      </w:pPr>
    </w:p>
    <w:p w14:paraId="32CA8926" w14:textId="77777777" w:rsidR="00F52CCA" w:rsidRDefault="0064562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第一部分 2023年度单位预算情况说明</w:t>
      </w:r>
    </w:p>
    <w:p w14:paraId="1EFC3718" w14:textId="77777777" w:rsidR="00F52CCA" w:rsidRDefault="0064562C">
      <w:pPr>
        <w:spacing w:line="560" w:lineRule="exact"/>
        <w:ind w:firstLineChars="200" w:firstLine="640"/>
        <w:rPr>
          <w:rFonts w:ascii="仿宋_GB2312" w:eastAsia="仿宋_GB2312" w:hAnsi="仿宋_GB2312" w:cs="仿宋_GB2312"/>
          <w:color w:val="000000"/>
          <w:sz w:val="32"/>
          <w:szCs w:val="32"/>
          <w:lang w:val="en"/>
        </w:rPr>
      </w:pPr>
      <w:r>
        <w:rPr>
          <w:rFonts w:ascii="仿宋_GB2312" w:eastAsia="仿宋_GB2312" w:hAnsi="仿宋_GB2312" w:cs="仿宋_GB2312" w:hint="eastAsia"/>
          <w:color w:val="000000"/>
          <w:sz w:val="32"/>
          <w:szCs w:val="32"/>
        </w:rPr>
        <w:t>一、单位情况说明</w:t>
      </w:r>
    </w:p>
    <w:p w14:paraId="4CDA67B7" w14:textId="77777777" w:rsidR="00F52CCA" w:rsidRDefault="006456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二、收入预算情况说明</w:t>
      </w:r>
    </w:p>
    <w:p w14:paraId="71C9A2B5" w14:textId="77777777" w:rsidR="00F52CCA" w:rsidRDefault="006456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三、支出预算情况说明</w:t>
      </w:r>
    </w:p>
    <w:p w14:paraId="5F73E1AE" w14:textId="77777777" w:rsidR="00F52CCA" w:rsidRDefault="006456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四、财政拨款“三公”经费预算情况说明</w:t>
      </w:r>
    </w:p>
    <w:p w14:paraId="7BA5A7A6" w14:textId="77777777" w:rsidR="00F52CCA" w:rsidRDefault="006456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五、其他情况说明</w:t>
      </w:r>
    </w:p>
    <w:p w14:paraId="1D1D8A89" w14:textId="77777777" w:rsidR="00F52CCA" w:rsidRDefault="0064562C">
      <w:pPr>
        <w:spacing w:line="560" w:lineRule="exact"/>
        <w:ind w:firstLineChars="200" w:firstLine="640"/>
        <w:rPr>
          <w:rFonts w:ascii="仿宋_GB2312" w:eastAsia="仿宋_GB2312" w:hAnsi="仿宋_GB2312" w:cs="仿宋_GB2312"/>
          <w:color w:val="000000"/>
          <w:sz w:val="32"/>
          <w:szCs w:val="32"/>
        </w:rPr>
      </w:pPr>
      <w:r>
        <w:rPr>
          <w:rFonts w:ascii="仿宋_GB2312" w:eastAsia="仿宋_GB2312" w:hAnsi="仿宋_GB2312" w:cs="仿宋_GB2312" w:hint="eastAsia"/>
          <w:color w:val="000000"/>
          <w:sz w:val="32"/>
          <w:szCs w:val="32"/>
        </w:rPr>
        <w:t>六、名词解释</w:t>
      </w:r>
    </w:p>
    <w:p w14:paraId="11586DBC" w14:textId="77777777" w:rsidR="00F52CCA" w:rsidRDefault="0064562C">
      <w:pPr>
        <w:spacing w:line="560" w:lineRule="exact"/>
        <w:rPr>
          <w:rFonts w:ascii="黑体" w:eastAsia="黑体" w:hAnsi="黑体" w:cs="黑体"/>
          <w:color w:val="000000"/>
          <w:sz w:val="32"/>
          <w:szCs w:val="32"/>
        </w:rPr>
      </w:pPr>
      <w:r>
        <w:rPr>
          <w:rFonts w:ascii="黑体" w:eastAsia="黑体" w:hAnsi="黑体" w:cs="黑体" w:hint="eastAsia"/>
          <w:color w:val="000000"/>
          <w:sz w:val="32"/>
          <w:szCs w:val="32"/>
        </w:rPr>
        <w:t>第二部分 2023年度单位预算报表</w:t>
      </w:r>
    </w:p>
    <w:p w14:paraId="08766F1C"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一、收支总表</w:t>
      </w:r>
    </w:p>
    <w:p w14:paraId="42914649"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二、收入总表</w:t>
      </w:r>
    </w:p>
    <w:p w14:paraId="5A423270" w14:textId="77777777" w:rsidR="00F52CCA" w:rsidRDefault="006456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三、支出总表</w:t>
      </w:r>
    </w:p>
    <w:p w14:paraId="3895DD50" w14:textId="77777777" w:rsidR="00F52CCA" w:rsidRDefault="006456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四、项目支出表</w:t>
      </w:r>
    </w:p>
    <w:p w14:paraId="68580BBE" w14:textId="77777777" w:rsidR="00F52CCA" w:rsidRDefault="0064562C">
      <w:pPr>
        <w:autoSpaceDE w:val="0"/>
        <w:autoSpaceDN w:val="0"/>
        <w:adjustRightInd w:val="0"/>
        <w:spacing w:line="560" w:lineRule="exact"/>
        <w:ind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五、政府采购预算明细表</w:t>
      </w:r>
    </w:p>
    <w:p w14:paraId="14C77562"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六、财政拨款收支总表</w:t>
      </w:r>
    </w:p>
    <w:p w14:paraId="42EEDFA8"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七、一般公共预算财政拨款支出表</w:t>
      </w:r>
    </w:p>
    <w:p w14:paraId="61070C91" w14:textId="77777777" w:rsidR="00F52CCA" w:rsidRDefault="0064562C">
      <w:pPr>
        <w:autoSpaceDE w:val="0"/>
        <w:autoSpaceDN w:val="0"/>
        <w:adjustRightInd w:val="0"/>
        <w:spacing w:line="560" w:lineRule="exact"/>
        <w:ind w:firstLineChars="200" w:firstLine="576"/>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spacing w:val="-16"/>
          <w:kern w:val="0"/>
          <w:sz w:val="32"/>
          <w:szCs w:val="32"/>
          <w:lang w:val="zh-CN"/>
        </w:rPr>
        <w:t>八、一般公共预算财政拨款基本支出表</w:t>
      </w:r>
    </w:p>
    <w:p w14:paraId="6679FD07"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kern w:val="0"/>
          <w:sz w:val="32"/>
          <w:szCs w:val="32"/>
          <w:lang w:val="zh-CN"/>
        </w:rPr>
        <w:t>九、政府性基金预算财政拨款支出表</w:t>
      </w:r>
    </w:p>
    <w:p w14:paraId="70ECD406"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spacing w:val="-16"/>
          <w:kern w:val="0"/>
          <w:sz w:val="32"/>
          <w:szCs w:val="32"/>
          <w:lang w:val="zh-CN"/>
        </w:rPr>
      </w:pPr>
      <w:r>
        <w:rPr>
          <w:rFonts w:ascii="仿宋_GB2312" w:eastAsia="仿宋_GB2312" w:hAnsi="仿宋_GB2312" w:cs="仿宋_GB2312" w:hint="eastAsia"/>
          <w:color w:val="000000"/>
          <w:kern w:val="0"/>
          <w:sz w:val="32"/>
          <w:szCs w:val="32"/>
          <w:lang w:val="zh-CN"/>
        </w:rPr>
        <w:t>十、国有资本经营预算财政拨款支出表</w:t>
      </w:r>
    </w:p>
    <w:p w14:paraId="488EEC41" w14:textId="77777777" w:rsidR="00F52CCA" w:rsidRDefault="0064562C">
      <w:pPr>
        <w:autoSpaceDE w:val="0"/>
        <w:autoSpaceDN w:val="0"/>
        <w:adjustRightInd w:val="0"/>
        <w:spacing w:line="560" w:lineRule="exact"/>
        <w:ind w:firstLineChars="200" w:firstLine="576"/>
        <w:jc w:val="left"/>
        <w:rPr>
          <w:rFonts w:ascii="仿宋_GB2312" w:eastAsia="仿宋_GB2312" w:hAnsi="仿宋_GB2312" w:cs="仿宋_GB2312"/>
          <w:color w:val="000000"/>
          <w:kern w:val="0"/>
          <w:sz w:val="32"/>
          <w:szCs w:val="32"/>
          <w:lang w:val="zh-CN"/>
        </w:rPr>
      </w:pPr>
      <w:r>
        <w:rPr>
          <w:rFonts w:ascii="仿宋_GB2312" w:eastAsia="仿宋_GB2312" w:hAnsi="仿宋_GB2312" w:cs="仿宋_GB2312" w:hint="eastAsia"/>
          <w:color w:val="000000"/>
          <w:spacing w:val="-16"/>
          <w:kern w:val="0"/>
          <w:sz w:val="32"/>
          <w:szCs w:val="32"/>
          <w:lang w:val="zh-CN"/>
        </w:rPr>
        <w:t>十一、财政拨款</w:t>
      </w:r>
      <w:r>
        <w:rPr>
          <w:rFonts w:ascii="仿宋_GB2312" w:eastAsia="仿宋_GB2312" w:hAnsi="仿宋_GB2312" w:cs="仿宋_GB2312" w:hint="eastAsia"/>
          <w:color w:val="000000"/>
          <w:kern w:val="0"/>
          <w:sz w:val="32"/>
          <w:szCs w:val="32"/>
          <w:lang w:val="zh-CN"/>
        </w:rPr>
        <w:t>“三公”经费支出表</w:t>
      </w:r>
    </w:p>
    <w:p w14:paraId="2E0A600B" w14:textId="77777777" w:rsidR="00F52CCA" w:rsidRDefault="0064562C">
      <w:pPr>
        <w:autoSpaceDE w:val="0"/>
        <w:autoSpaceDN w:val="0"/>
        <w:adjustRightInd w:val="0"/>
        <w:spacing w:line="560" w:lineRule="exact"/>
        <w:ind w:firstLineChars="200" w:firstLine="568"/>
        <w:jc w:val="left"/>
        <w:rPr>
          <w:rFonts w:ascii="仿宋_GB2312" w:eastAsia="仿宋_GB2312" w:hAnsi="仿宋_GB2312" w:cs="仿宋_GB2312"/>
          <w:color w:val="000000"/>
          <w:spacing w:val="-18"/>
          <w:kern w:val="0"/>
          <w:sz w:val="32"/>
          <w:szCs w:val="32"/>
          <w:lang w:val="zh-CN"/>
        </w:rPr>
      </w:pPr>
      <w:r>
        <w:rPr>
          <w:rFonts w:ascii="仿宋_GB2312" w:eastAsia="仿宋_GB2312" w:hAnsi="仿宋_GB2312" w:cs="仿宋_GB2312" w:hint="eastAsia"/>
          <w:color w:val="000000"/>
          <w:spacing w:val="-18"/>
          <w:kern w:val="0"/>
          <w:sz w:val="32"/>
          <w:szCs w:val="32"/>
          <w:lang w:val="zh-CN"/>
        </w:rPr>
        <w:t>十二、政府购买服务预算财政拨款明细表</w:t>
      </w:r>
    </w:p>
    <w:p w14:paraId="5F134516" w14:textId="77777777" w:rsidR="00F52CCA" w:rsidRDefault="0064562C">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sectPr w:rsidR="00F52CCA">
          <w:footerReference w:type="default" r:id="rId8"/>
          <w:pgSz w:w="11906" w:h="16838"/>
          <w:pgMar w:top="1440" w:right="1800" w:bottom="1440" w:left="1800" w:header="851" w:footer="992" w:gutter="0"/>
          <w:pgNumType w:fmt="numberInDash"/>
          <w:cols w:space="720"/>
          <w:docGrid w:type="lines" w:linePitch="312"/>
        </w:sectPr>
      </w:pPr>
      <w:r>
        <w:rPr>
          <w:rFonts w:ascii="仿宋_GB2312" w:eastAsia="仿宋_GB2312" w:hAnsi="仿宋_GB2312" w:cs="仿宋_GB2312" w:hint="eastAsia"/>
          <w:color w:val="000000"/>
          <w:kern w:val="0"/>
          <w:sz w:val="32"/>
          <w:szCs w:val="32"/>
          <w:lang w:val="zh-CN"/>
        </w:rPr>
        <w:t>十三、项目支出绩效目标表</w:t>
      </w:r>
    </w:p>
    <w:p w14:paraId="014E3496" w14:textId="77777777" w:rsidR="00F52CCA" w:rsidRDefault="00F52CCA">
      <w:pPr>
        <w:autoSpaceDE w:val="0"/>
        <w:autoSpaceDN w:val="0"/>
        <w:adjustRightInd w:val="0"/>
        <w:spacing w:line="560" w:lineRule="exact"/>
        <w:ind w:firstLineChars="200" w:firstLine="640"/>
        <w:jc w:val="left"/>
        <w:rPr>
          <w:rFonts w:ascii="仿宋_GB2312" w:eastAsia="仿宋_GB2312" w:hAnsi="仿宋_GB2312" w:cs="仿宋_GB2312"/>
          <w:color w:val="000000"/>
          <w:kern w:val="0"/>
          <w:sz w:val="32"/>
          <w:szCs w:val="32"/>
          <w:lang w:val="zh-CN"/>
        </w:rPr>
      </w:pPr>
    </w:p>
    <w:p w14:paraId="30441EEF" w14:textId="77777777" w:rsidR="00F52CCA" w:rsidRDefault="0064562C">
      <w:pPr>
        <w:spacing w:line="560" w:lineRule="exact"/>
        <w:jc w:val="center"/>
        <w:rPr>
          <w:rFonts w:ascii="方正小标宋简体" w:eastAsia="方正小标宋简体"/>
          <w:color w:val="000000"/>
          <w:sz w:val="32"/>
          <w:szCs w:val="32"/>
        </w:rPr>
      </w:pPr>
      <w:r>
        <w:rPr>
          <w:rFonts w:ascii="方正小标宋简体" w:eastAsia="方正小标宋简体" w:hint="eastAsia"/>
          <w:color w:val="000000"/>
          <w:sz w:val="36"/>
          <w:szCs w:val="36"/>
        </w:rPr>
        <w:t>第一部分  2023年度单位预算情况说明</w:t>
      </w:r>
    </w:p>
    <w:p w14:paraId="40637265" w14:textId="77777777" w:rsidR="00F52CCA" w:rsidRDefault="00F52CCA">
      <w:pPr>
        <w:spacing w:line="360" w:lineRule="auto"/>
        <w:rPr>
          <w:rFonts w:ascii="仿宋_GB2312" w:eastAsia="仿宋_GB2312"/>
          <w:color w:val="000000"/>
          <w:sz w:val="32"/>
          <w:szCs w:val="32"/>
        </w:rPr>
      </w:pPr>
    </w:p>
    <w:p w14:paraId="42285B2E" w14:textId="77777777" w:rsidR="00F52CCA" w:rsidRDefault="0064562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一、单位情况说明</w:t>
      </w:r>
    </w:p>
    <w:p w14:paraId="213EC4A3" w14:textId="77777777" w:rsidR="00F52CCA" w:rsidRDefault="006456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（一）本单位性质、职责等情况</w:t>
      </w:r>
    </w:p>
    <w:p w14:paraId="000A5B4A"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单位性质：北京市盲人学校为公益一类事业单位。</w:t>
      </w:r>
    </w:p>
    <w:p w14:paraId="285CD098" w14:textId="77777777" w:rsidR="00F52CCA" w:rsidRDefault="0064562C">
      <w:pPr>
        <w:spacing w:line="560" w:lineRule="exact"/>
        <w:ind w:firstLineChars="200" w:firstLine="640"/>
      </w:pPr>
      <w:r>
        <w:rPr>
          <w:rFonts w:ascii="仿宋_GB2312" w:eastAsia="仿宋_GB2312" w:hint="eastAsia"/>
          <w:color w:val="000000"/>
          <w:sz w:val="32"/>
          <w:szCs w:val="32"/>
        </w:rPr>
        <w:t>单位职责：北京市视障学生义务教育、普通高中、职业高中、成人中专学段的教育，同时承担北京市市内送教上门工作。学校秉持“以德立校、以爱育心、教育康复、个性发展”的办学理念，贯彻“博爱奉献、团结协作、创新有为”的精神，努力提高教育教学质量和科研水平，形成了教育、科研、培训、服务 “四位一体”的办学模式。新增视障教育资源中心的职能，为北京市视障人群提供校内外康复教育、专业指导、师资培训、资源支持等服务功能。</w:t>
      </w:r>
    </w:p>
    <w:p w14:paraId="0BBB1F3B" w14:textId="77777777" w:rsidR="00F52CCA" w:rsidRDefault="0064562C">
      <w:pPr>
        <w:numPr>
          <w:ilvl w:val="0"/>
          <w:numId w:val="1"/>
        </w:num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机构设置情况</w:t>
      </w:r>
    </w:p>
    <w:p w14:paraId="24A9CA8A" w14:textId="77777777" w:rsidR="00F52CCA" w:rsidRPr="006F7BE5" w:rsidRDefault="0064562C">
      <w:pPr>
        <w:ind w:firstLineChars="200" w:firstLine="640"/>
        <w:rPr>
          <w:rFonts w:ascii="仿宋_GB2312" w:eastAsia="仿宋_GB2312" w:hAnsi="仿宋" w:cs="仿宋"/>
          <w:sz w:val="32"/>
          <w:szCs w:val="32"/>
        </w:rPr>
      </w:pPr>
      <w:r w:rsidRPr="006F7BE5">
        <w:rPr>
          <w:rFonts w:ascii="仿宋_GB2312" w:eastAsia="仿宋_GB2312" w:hAnsi="仿宋" w:cs="仿宋" w:hint="eastAsia"/>
          <w:sz w:val="32"/>
          <w:szCs w:val="32"/>
        </w:rPr>
        <w:t>北京市盲人学校内设10个科室，分别是党政办、党群办、宣信部、教务科、基础教育科、职业与康复教育科、学生发展中心、财务科、总务科、视障教育资源中心。</w:t>
      </w:r>
    </w:p>
    <w:p w14:paraId="20CBDB23" w14:textId="77777777" w:rsidR="00F52CCA" w:rsidRPr="006F7BE5" w:rsidRDefault="0064562C">
      <w:pPr>
        <w:ind w:firstLineChars="200" w:firstLine="640"/>
        <w:rPr>
          <w:rFonts w:ascii="仿宋_GB2312" w:eastAsia="仿宋_GB2312" w:hAnsi="仿宋" w:cs="仿宋"/>
          <w:sz w:val="32"/>
          <w:szCs w:val="32"/>
        </w:rPr>
      </w:pPr>
      <w:r w:rsidRPr="006F7BE5">
        <w:rPr>
          <w:rFonts w:ascii="仿宋_GB2312" w:eastAsia="仿宋_GB2312" w:hAnsi="仿宋" w:cs="仿宋" w:hint="eastAsia"/>
          <w:sz w:val="32"/>
          <w:szCs w:val="32"/>
        </w:rPr>
        <w:t>北京市盲人学校包括1个预算单位，即北京市盲人学校（本级）。</w:t>
      </w:r>
    </w:p>
    <w:p w14:paraId="47A2A0BC" w14:textId="77777777" w:rsidR="00F52CCA" w:rsidRDefault="006456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t>（三）人员编制及实有情况</w:t>
      </w:r>
    </w:p>
    <w:p w14:paraId="44FD3007" w14:textId="6184F6F9" w:rsidR="00F52CCA" w:rsidRPr="00B26494" w:rsidRDefault="0064562C">
      <w:pPr>
        <w:spacing w:line="560" w:lineRule="exact"/>
        <w:ind w:firstLineChars="200" w:firstLine="640"/>
        <w:rPr>
          <w:rFonts w:ascii="仿宋_GB2312" w:eastAsia="仿宋_GB2312"/>
          <w:color w:val="000000"/>
          <w:sz w:val="32"/>
          <w:szCs w:val="32"/>
        </w:rPr>
      </w:pPr>
      <w:r w:rsidRPr="00B26494">
        <w:rPr>
          <w:rFonts w:ascii="仿宋_GB2312" w:eastAsia="仿宋_GB2312" w:hint="eastAsia"/>
          <w:color w:val="000000"/>
          <w:sz w:val="32"/>
          <w:szCs w:val="32"/>
        </w:rPr>
        <w:t>北京市盲人学校</w:t>
      </w:r>
      <w:r w:rsidR="00BE2FA9" w:rsidRPr="00BE2FA9">
        <w:rPr>
          <w:rFonts w:ascii="仿宋_GB2312" w:eastAsia="仿宋_GB2312" w:hint="eastAsia"/>
          <w:color w:val="000000"/>
          <w:sz w:val="32"/>
          <w:szCs w:val="32"/>
        </w:rPr>
        <w:t>行政编制0人，实有人数0人；</w:t>
      </w:r>
      <w:r w:rsidRPr="00B26494">
        <w:rPr>
          <w:rFonts w:ascii="仿宋_GB2312" w:eastAsia="仿宋_GB2312" w:hint="eastAsia"/>
          <w:color w:val="000000"/>
          <w:sz w:val="32"/>
          <w:szCs w:val="32"/>
        </w:rPr>
        <w:t>事业编制146人，实有人数130人</w:t>
      </w:r>
      <w:r w:rsidR="00BE2FA9">
        <w:rPr>
          <w:rFonts w:ascii="仿宋_GB2312" w:eastAsia="仿宋_GB2312" w:hint="eastAsia"/>
          <w:color w:val="000000"/>
          <w:sz w:val="32"/>
          <w:szCs w:val="32"/>
        </w:rPr>
        <w:t>；离休人员0人，</w:t>
      </w:r>
      <w:r w:rsidRPr="00B26494">
        <w:rPr>
          <w:rFonts w:ascii="仿宋_GB2312" w:eastAsia="仿宋_GB2312" w:hAnsi="仿宋" w:cs="仿宋" w:hint="eastAsia"/>
          <w:sz w:val="32"/>
          <w:szCs w:val="32"/>
        </w:rPr>
        <w:t>退休</w:t>
      </w:r>
      <w:r w:rsidR="00BE2FA9">
        <w:rPr>
          <w:rFonts w:ascii="仿宋_GB2312" w:eastAsia="仿宋_GB2312" w:hAnsi="仿宋" w:cs="仿宋" w:hint="eastAsia"/>
          <w:sz w:val="32"/>
          <w:szCs w:val="32"/>
        </w:rPr>
        <w:t>人员</w:t>
      </w:r>
      <w:r w:rsidRPr="00B26494">
        <w:rPr>
          <w:rFonts w:ascii="仿宋_GB2312" w:eastAsia="仿宋_GB2312" w:hAnsi="仿宋" w:cs="仿宋" w:hint="eastAsia"/>
          <w:sz w:val="32"/>
          <w:szCs w:val="32"/>
        </w:rPr>
        <w:t>143</w:t>
      </w:r>
      <w:r w:rsidRPr="00B26494">
        <w:rPr>
          <w:rFonts w:ascii="仿宋_GB2312" w:eastAsia="仿宋_GB2312" w:hAnsi="仿宋" w:cs="仿宋" w:hint="eastAsia"/>
          <w:sz w:val="32"/>
          <w:szCs w:val="32"/>
        </w:rPr>
        <w:lastRenderedPageBreak/>
        <w:t>人</w:t>
      </w:r>
      <w:r w:rsidR="006A0404">
        <w:rPr>
          <w:rFonts w:ascii="仿宋_GB2312" w:eastAsia="仿宋_GB2312" w:hAnsi="仿宋" w:cs="仿宋" w:hint="eastAsia"/>
          <w:sz w:val="32"/>
          <w:szCs w:val="32"/>
        </w:rPr>
        <w:t>；</w:t>
      </w:r>
      <w:r w:rsidRPr="00B26494">
        <w:rPr>
          <w:rFonts w:ascii="仿宋_GB2312" w:eastAsia="仿宋_GB2312" w:hAnsi="仿宋" w:cs="仿宋" w:hint="eastAsia"/>
          <w:sz w:val="32"/>
          <w:szCs w:val="32"/>
        </w:rPr>
        <w:t>学生</w:t>
      </w:r>
      <w:r w:rsidR="003927F3">
        <w:rPr>
          <w:rFonts w:ascii="仿宋_GB2312" w:eastAsia="仿宋_GB2312" w:hAnsi="仿宋" w:cs="仿宋" w:hint="eastAsia"/>
          <w:sz w:val="32"/>
          <w:szCs w:val="32"/>
        </w:rPr>
        <w:t>人数</w:t>
      </w:r>
      <w:r w:rsidRPr="00B26494">
        <w:rPr>
          <w:rFonts w:ascii="仿宋_GB2312" w:eastAsia="仿宋_GB2312" w:hAnsi="仿宋" w:cs="仿宋" w:hint="eastAsia"/>
          <w:sz w:val="32"/>
          <w:szCs w:val="32"/>
        </w:rPr>
        <w:t>146人</w:t>
      </w:r>
      <w:r w:rsidR="0006489E">
        <w:rPr>
          <w:rFonts w:ascii="仿宋_GB2312" w:eastAsia="仿宋_GB2312" w:hAnsi="仿宋" w:cs="仿宋" w:hint="eastAsia"/>
          <w:sz w:val="32"/>
          <w:szCs w:val="32"/>
        </w:rPr>
        <w:t>；其他人员无</w:t>
      </w:r>
      <w:r w:rsidRPr="00B26494">
        <w:rPr>
          <w:rFonts w:ascii="仿宋_GB2312" w:eastAsia="仿宋_GB2312" w:hAnsi="仿宋" w:cs="仿宋" w:hint="eastAsia"/>
          <w:sz w:val="32"/>
          <w:szCs w:val="32"/>
        </w:rPr>
        <w:t>。</w:t>
      </w:r>
    </w:p>
    <w:p w14:paraId="40284D51" w14:textId="77777777" w:rsidR="00F52CCA" w:rsidRDefault="0064562C">
      <w:pPr>
        <w:spacing w:line="560" w:lineRule="exact"/>
        <w:ind w:firstLineChars="200" w:firstLine="640"/>
        <w:rPr>
          <w:rFonts w:ascii="黑体" w:eastAsia="黑体"/>
          <w:color w:val="000000"/>
          <w:sz w:val="32"/>
          <w:szCs w:val="32"/>
        </w:rPr>
      </w:pPr>
      <w:r>
        <w:rPr>
          <w:rFonts w:ascii="黑体" w:eastAsia="黑体" w:hint="eastAsia"/>
          <w:color w:val="000000"/>
          <w:sz w:val="32"/>
          <w:szCs w:val="32"/>
        </w:rPr>
        <w:t>二、收入预算情况说明</w:t>
      </w:r>
    </w:p>
    <w:p w14:paraId="652AEEEB" w14:textId="7D16AFF0"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2023年度收入预算5,367.21万元，比2022年年初预算数5,097.70万元增加269.51万元，增长5.29%。主要原因是</w:t>
      </w:r>
      <w:r w:rsidR="006D0014">
        <w:rPr>
          <w:rFonts w:ascii="仿宋_GB2312" w:eastAsia="仿宋_GB2312" w:hint="eastAsia"/>
          <w:sz w:val="32"/>
          <w:szCs w:val="32"/>
        </w:rPr>
        <w:t>落实人员</w:t>
      </w:r>
      <w:r w:rsidR="00414023">
        <w:rPr>
          <w:rFonts w:ascii="仿宋_GB2312" w:eastAsia="仿宋_GB2312" w:hint="eastAsia"/>
          <w:sz w:val="32"/>
          <w:szCs w:val="32"/>
        </w:rPr>
        <w:t>工资</w:t>
      </w:r>
      <w:r w:rsidR="006D0014">
        <w:rPr>
          <w:rFonts w:ascii="仿宋_GB2312" w:eastAsia="仿宋_GB2312" w:hint="eastAsia"/>
          <w:sz w:val="32"/>
          <w:szCs w:val="32"/>
        </w:rPr>
        <w:t>等政策，人员</w:t>
      </w:r>
      <w:r>
        <w:rPr>
          <w:rFonts w:ascii="仿宋_GB2312" w:eastAsia="仿宋_GB2312" w:hint="eastAsia"/>
          <w:sz w:val="32"/>
          <w:szCs w:val="32"/>
        </w:rPr>
        <w:t>经费</w:t>
      </w:r>
      <w:r w:rsidR="006D0014">
        <w:rPr>
          <w:rFonts w:ascii="仿宋_GB2312" w:eastAsia="仿宋_GB2312" w:hint="eastAsia"/>
          <w:sz w:val="32"/>
          <w:szCs w:val="32"/>
        </w:rPr>
        <w:t>有所</w:t>
      </w:r>
      <w:r>
        <w:rPr>
          <w:rFonts w:ascii="仿宋_GB2312" w:eastAsia="仿宋_GB2312" w:hint="eastAsia"/>
          <w:sz w:val="32"/>
          <w:szCs w:val="32"/>
        </w:rPr>
        <w:t>增长。</w:t>
      </w:r>
    </w:p>
    <w:p w14:paraId="3B1CAD0D"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（一）本年财政拨款收入</w:t>
      </w:r>
      <w:r w:rsidR="006F7BE5">
        <w:rPr>
          <w:rFonts w:ascii="仿宋_GB2312" w:eastAsia="仿宋_GB2312" w:hint="eastAsia"/>
          <w:sz w:val="32"/>
          <w:szCs w:val="32"/>
        </w:rPr>
        <w:t>5,362.01</w:t>
      </w:r>
      <w:r>
        <w:rPr>
          <w:rFonts w:ascii="楷体_GB2312" w:eastAsia="楷体_GB2312" w:hint="eastAsia"/>
          <w:sz w:val="32"/>
          <w:szCs w:val="32"/>
        </w:rPr>
        <w:t>万元</w:t>
      </w:r>
    </w:p>
    <w:p w14:paraId="562792FA"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1.一般公共预算拨款收入5,362.01万元。</w:t>
      </w:r>
    </w:p>
    <w:p w14:paraId="473E770F"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2.政府性基金预算拨款收入0.00万元。</w:t>
      </w:r>
    </w:p>
    <w:p w14:paraId="426A460D"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3.国有资本经营预算拨款收入0.00万元。</w:t>
      </w:r>
    </w:p>
    <w:p w14:paraId="020E4521"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（二）本年其他资金收入5.20万元</w:t>
      </w:r>
    </w:p>
    <w:p w14:paraId="787EC5BF"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4.财政专户管理资金收入0.20万元。</w:t>
      </w:r>
    </w:p>
    <w:p w14:paraId="32752A86"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5.事业收入0.00万元。</w:t>
      </w:r>
    </w:p>
    <w:p w14:paraId="53ED2414"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6.上级补助收入0.00万元。</w:t>
      </w:r>
    </w:p>
    <w:p w14:paraId="4B8E0575"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7.附属单位上缴收入0.00万元。</w:t>
      </w:r>
    </w:p>
    <w:p w14:paraId="22742C74"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8.事业单位经营收入0.00万元。</w:t>
      </w:r>
    </w:p>
    <w:p w14:paraId="5DDA1489"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9.其他收入5.00万元。</w:t>
      </w:r>
    </w:p>
    <w:p w14:paraId="1252C708"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（三）上年结转结余0.00万元</w:t>
      </w:r>
    </w:p>
    <w:p w14:paraId="0CAA29AB"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10.上年结转结余0.00万元。</w:t>
      </w:r>
    </w:p>
    <w:p w14:paraId="770D3B97" w14:textId="77777777" w:rsidR="00F52CCA" w:rsidRDefault="0064562C">
      <w:pPr>
        <w:pStyle w:val="2"/>
        <w:jc w:val="center"/>
        <w:rPr>
          <w:rFonts w:ascii="仿宋_GB2312" w:eastAsia="仿宋_GB2312"/>
          <w:sz w:val="32"/>
        </w:rPr>
      </w:pPr>
      <w:r>
        <w:rPr>
          <w:rFonts w:ascii="仿宋_GB2312" w:eastAsia="仿宋_GB2312" w:hint="eastAsia"/>
          <w:sz w:val="32"/>
        </w:rPr>
        <w:lastRenderedPageBreak/>
        <w:t>图1：收入预算</w:t>
      </w:r>
    </w:p>
    <w:p w14:paraId="51B41215" w14:textId="77777777" w:rsidR="00F52CCA" w:rsidRDefault="0064562C">
      <w:pPr>
        <w:jc w:val="center"/>
      </w:pPr>
      <w:r>
        <w:rPr>
          <w:noProof/>
        </w:rPr>
        <w:drawing>
          <wp:inline distT="0" distB="0" distL="114300" distR="114300" wp14:anchorId="47804462" wp14:editId="1ECC4CA7">
            <wp:extent cx="5273040" cy="3923665"/>
            <wp:effectExtent l="4445" t="4445" r="18415" b="15240"/>
            <wp:docPr id="2"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4267DC8" w14:textId="77777777" w:rsidR="00F52CCA" w:rsidRDefault="0064562C">
      <w:pPr>
        <w:spacing w:line="560" w:lineRule="exact"/>
        <w:ind w:firstLineChars="200" w:firstLine="640"/>
        <w:rPr>
          <w:rFonts w:ascii="黑体" w:eastAsia="黑体"/>
          <w:sz w:val="32"/>
          <w:szCs w:val="32"/>
        </w:rPr>
      </w:pPr>
      <w:r>
        <w:rPr>
          <w:rFonts w:ascii="黑体" w:eastAsia="黑体" w:hint="eastAsia"/>
          <w:sz w:val="32"/>
          <w:szCs w:val="32"/>
        </w:rPr>
        <w:t>三、支出预算情况说明</w:t>
      </w:r>
    </w:p>
    <w:p w14:paraId="0F6DA842" w14:textId="554ABE0B" w:rsidR="009C741B" w:rsidRDefault="0064562C" w:rsidP="009C741B">
      <w:pPr>
        <w:spacing w:line="560" w:lineRule="exact"/>
        <w:ind w:firstLineChars="200" w:firstLine="640"/>
        <w:rPr>
          <w:rFonts w:ascii="仿宋_GB2312" w:eastAsia="仿宋_GB2312"/>
          <w:sz w:val="32"/>
          <w:szCs w:val="32"/>
        </w:rPr>
      </w:pPr>
      <w:r>
        <w:rPr>
          <w:rFonts w:ascii="仿宋_GB2312" w:eastAsia="仿宋_GB2312" w:hint="eastAsia"/>
          <w:sz w:val="32"/>
          <w:szCs w:val="32"/>
        </w:rPr>
        <w:t>2023年支出预算5,367.21万元，比2022年年初预算数5,097.70万元增加269.51万元，增长5.29%。</w:t>
      </w:r>
      <w:r w:rsidR="009C741B">
        <w:rPr>
          <w:rFonts w:ascii="仿宋_GB2312" w:eastAsia="仿宋_GB2312" w:hint="eastAsia"/>
          <w:sz w:val="32"/>
          <w:szCs w:val="32"/>
        </w:rPr>
        <w:t>主要原因是落实人员</w:t>
      </w:r>
      <w:r w:rsidR="00431646">
        <w:rPr>
          <w:rFonts w:ascii="仿宋_GB2312" w:eastAsia="仿宋_GB2312" w:hint="eastAsia"/>
          <w:sz w:val="32"/>
          <w:szCs w:val="32"/>
        </w:rPr>
        <w:t>工资</w:t>
      </w:r>
      <w:r w:rsidR="009C741B">
        <w:rPr>
          <w:rFonts w:ascii="仿宋_GB2312" w:eastAsia="仿宋_GB2312" w:hint="eastAsia"/>
          <w:sz w:val="32"/>
          <w:szCs w:val="32"/>
        </w:rPr>
        <w:t>等政策，人员经费有所增长。</w:t>
      </w:r>
    </w:p>
    <w:p w14:paraId="41338D26" w14:textId="7CDCA19F" w:rsidR="00F52CCA" w:rsidRDefault="001C04C7" w:rsidP="009C741B">
      <w:pPr>
        <w:spacing w:line="560" w:lineRule="exact"/>
        <w:ind w:firstLineChars="200" w:firstLine="640"/>
        <w:rPr>
          <w:rFonts w:ascii="仿宋_GB2312" w:eastAsia="仿宋_GB2312"/>
          <w:sz w:val="32"/>
          <w:szCs w:val="32"/>
        </w:rPr>
      </w:pPr>
      <w:r>
        <w:rPr>
          <w:rFonts w:ascii="楷体_GB2312" w:eastAsia="楷体_GB2312" w:hAnsi="楷体_GB2312" w:cs="楷体_GB2312" w:hint="eastAsia"/>
          <w:sz w:val="32"/>
          <w:szCs w:val="32"/>
        </w:rPr>
        <w:t>（</w:t>
      </w:r>
      <w:r w:rsidR="0064562C">
        <w:rPr>
          <w:rFonts w:ascii="楷体_GB2312" w:eastAsia="楷体_GB2312" w:hAnsi="楷体_GB2312" w:cs="楷体_GB2312" w:hint="eastAsia"/>
          <w:sz w:val="32"/>
          <w:szCs w:val="32"/>
        </w:rPr>
        <w:t>一</w:t>
      </w:r>
      <w:r>
        <w:rPr>
          <w:rFonts w:ascii="楷体_GB2312" w:eastAsia="楷体_GB2312" w:hAnsi="楷体_GB2312" w:cs="楷体_GB2312" w:hint="eastAsia"/>
          <w:sz w:val="32"/>
          <w:szCs w:val="32"/>
        </w:rPr>
        <w:t>）</w:t>
      </w:r>
      <w:r w:rsidR="0064562C">
        <w:rPr>
          <w:rFonts w:ascii="楷体_GB2312" w:eastAsia="楷体_GB2312" w:hAnsi="楷体_GB2312" w:cs="楷体_GB2312" w:hint="eastAsia"/>
          <w:sz w:val="32"/>
          <w:szCs w:val="32"/>
        </w:rPr>
        <w:t>基本支出。</w:t>
      </w:r>
      <w:r w:rsidR="0064562C">
        <w:rPr>
          <w:rFonts w:ascii="仿宋_GB2312" w:eastAsia="仿宋_GB2312" w:hint="eastAsia"/>
          <w:sz w:val="32"/>
          <w:szCs w:val="32"/>
        </w:rPr>
        <w:t>基本支出预算5,076.01万元，占总支出预算94.57%，比2022年年初预算数4,582.04万元增加493.97万元，增长10.78%。</w:t>
      </w:r>
    </w:p>
    <w:p w14:paraId="71BACB4F" w14:textId="77777777" w:rsidR="00F52CCA" w:rsidRDefault="0064562C">
      <w:pPr>
        <w:spacing w:line="560" w:lineRule="exact"/>
        <w:ind w:firstLine="640"/>
        <w:rPr>
          <w:rFonts w:ascii="仿宋_GB2312" w:eastAsia="仿宋_GB2312"/>
          <w:sz w:val="32"/>
          <w:szCs w:val="32"/>
        </w:rPr>
      </w:pPr>
      <w:r>
        <w:rPr>
          <w:rFonts w:ascii="楷体_GB2312" w:eastAsia="楷体_GB2312" w:hAnsi="楷体_GB2312" w:cs="楷体_GB2312" w:hint="eastAsia"/>
          <w:sz w:val="32"/>
          <w:szCs w:val="32"/>
        </w:rPr>
        <w:t>（二）项目支出。</w:t>
      </w:r>
      <w:r>
        <w:rPr>
          <w:rFonts w:ascii="仿宋_GB2312" w:eastAsia="仿宋_GB2312" w:hint="eastAsia"/>
          <w:sz w:val="32"/>
          <w:szCs w:val="32"/>
        </w:rPr>
        <w:t>项目支出预算291.20万元，比2022年年初预算数515.66万元减少224.46万元，下降43.53%。其中：</w:t>
      </w:r>
    </w:p>
    <w:p w14:paraId="2616941B" w14:textId="77777777" w:rsidR="00F52CCA" w:rsidRDefault="0064562C">
      <w:pPr>
        <w:spacing w:line="560" w:lineRule="exact"/>
        <w:ind w:firstLine="640"/>
        <w:rPr>
          <w:rFonts w:ascii="仿宋_GB2312" w:eastAsia="仿宋_GB2312"/>
          <w:sz w:val="32"/>
          <w:szCs w:val="32"/>
        </w:rPr>
      </w:pPr>
      <w:r>
        <w:rPr>
          <w:rFonts w:ascii="仿宋_GB2312" w:eastAsia="仿宋_GB2312" w:hint="eastAsia"/>
          <w:sz w:val="32"/>
          <w:szCs w:val="32"/>
        </w:rPr>
        <w:t>1.事业单位经营支出0.00万元。</w:t>
      </w:r>
    </w:p>
    <w:p w14:paraId="4B3C93C5" w14:textId="77777777" w:rsidR="00F52CCA" w:rsidRDefault="0064562C">
      <w:pPr>
        <w:spacing w:line="560" w:lineRule="exact"/>
        <w:ind w:firstLine="640"/>
        <w:rPr>
          <w:rFonts w:ascii="仿宋_GB2312" w:eastAsia="仿宋_GB2312"/>
          <w:sz w:val="32"/>
          <w:szCs w:val="32"/>
        </w:rPr>
      </w:pPr>
      <w:r>
        <w:rPr>
          <w:rFonts w:ascii="仿宋_GB2312" w:eastAsia="仿宋_GB2312" w:hint="eastAsia"/>
          <w:sz w:val="32"/>
          <w:szCs w:val="32"/>
        </w:rPr>
        <w:lastRenderedPageBreak/>
        <w:t>2.上缴上级支出0.00万元。</w:t>
      </w:r>
    </w:p>
    <w:p w14:paraId="6DFDBCBD" w14:textId="77777777" w:rsidR="00F52CCA" w:rsidRDefault="0064562C">
      <w:pPr>
        <w:spacing w:line="560" w:lineRule="exact"/>
        <w:ind w:firstLine="640"/>
        <w:rPr>
          <w:rFonts w:ascii="仿宋_GB2312" w:eastAsia="仿宋_GB2312"/>
          <w:sz w:val="32"/>
          <w:szCs w:val="32"/>
        </w:rPr>
      </w:pPr>
      <w:r>
        <w:rPr>
          <w:rFonts w:ascii="仿宋_GB2312" w:eastAsia="仿宋_GB2312" w:hint="eastAsia"/>
          <w:sz w:val="32"/>
          <w:szCs w:val="32"/>
        </w:rPr>
        <w:t>3.对附属单位补助支出0.00万元。</w:t>
      </w:r>
    </w:p>
    <w:p w14:paraId="3A3E8623" w14:textId="77777777" w:rsidR="00F52CCA" w:rsidRDefault="0064562C">
      <w:pPr>
        <w:pStyle w:val="2"/>
        <w:ind w:firstLine="642"/>
        <w:jc w:val="center"/>
        <w:rPr>
          <w:rFonts w:ascii="仿宋_GB2312" w:eastAsia="仿宋_GB2312"/>
          <w:sz w:val="32"/>
        </w:rPr>
      </w:pPr>
      <w:r>
        <w:rPr>
          <w:rFonts w:ascii="仿宋_GB2312" w:eastAsia="仿宋_GB2312" w:hint="eastAsia"/>
          <w:sz w:val="32"/>
        </w:rPr>
        <w:t>图2：基本支出和项目支出情况</w:t>
      </w:r>
    </w:p>
    <w:p w14:paraId="0BACC0B7" w14:textId="77777777" w:rsidR="00F52CCA" w:rsidRDefault="0064562C" w:rsidP="00064EF7">
      <w:pPr>
        <w:pStyle w:val="2"/>
        <w:jc w:val="center"/>
      </w:pPr>
      <w:r>
        <w:rPr>
          <w:noProof/>
        </w:rPr>
        <w:drawing>
          <wp:inline distT="0" distB="0" distL="114300" distR="114300" wp14:anchorId="1EA56F79" wp14:editId="4BB22F67">
            <wp:extent cx="4572000" cy="2743200"/>
            <wp:effectExtent l="4445" t="4445" r="14605" b="14605"/>
            <wp:docPr id="1"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7D69D157" w14:textId="77777777" w:rsidR="00F52CCA" w:rsidRDefault="0064562C">
      <w:pPr>
        <w:spacing w:line="560" w:lineRule="exact"/>
        <w:ind w:firstLineChars="200" w:firstLine="640"/>
        <w:rPr>
          <w:rFonts w:ascii="黑体" w:eastAsia="黑体"/>
          <w:sz w:val="32"/>
          <w:szCs w:val="32"/>
        </w:rPr>
      </w:pPr>
      <w:r>
        <w:rPr>
          <w:rFonts w:ascii="黑体" w:eastAsia="黑体" w:hint="eastAsia"/>
          <w:sz w:val="32"/>
          <w:szCs w:val="32"/>
        </w:rPr>
        <w:t>四、财政拨款“三公”经费预算情况说明</w:t>
      </w:r>
    </w:p>
    <w:p w14:paraId="5F9104E5"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（一）“三公”经费的单位范围</w:t>
      </w:r>
    </w:p>
    <w:p w14:paraId="59759CA2"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北京市盲人学校因公出国（境）费用、公务接待费、公务用车购置和运行维护费开支单位包括1个所属单位。其他所属单位2023年无财政拨款安排的“三公”经费预算。</w:t>
      </w:r>
    </w:p>
    <w:p w14:paraId="1006CBB8" w14:textId="77777777" w:rsidR="00F52CCA" w:rsidRPr="001C04C7" w:rsidRDefault="0064562C" w:rsidP="001C04C7">
      <w:pPr>
        <w:pStyle w:val="a7"/>
        <w:numPr>
          <w:ilvl w:val="0"/>
          <w:numId w:val="2"/>
        </w:numPr>
        <w:spacing w:line="560" w:lineRule="exact"/>
        <w:ind w:firstLineChars="0"/>
        <w:rPr>
          <w:rFonts w:ascii="楷体_GB2312" w:eastAsia="楷体_GB2312"/>
          <w:sz w:val="32"/>
          <w:szCs w:val="32"/>
        </w:rPr>
      </w:pPr>
      <w:r w:rsidRPr="001C04C7">
        <w:rPr>
          <w:rFonts w:ascii="楷体_GB2312" w:eastAsia="楷体_GB2312" w:hint="eastAsia"/>
          <w:sz w:val="32"/>
          <w:szCs w:val="32"/>
        </w:rPr>
        <w:t>财政拨款“三公”经费预算情况说明</w:t>
      </w:r>
    </w:p>
    <w:p w14:paraId="6FC215A7"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2023年财政拨款“三公”经费预算3.80万元，</w:t>
      </w:r>
      <w:r w:rsidR="006F7BE5">
        <w:rPr>
          <w:rFonts w:ascii="仿宋_GB2312" w:eastAsia="仿宋_GB2312" w:hint="eastAsia"/>
          <w:sz w:val="32"/>
          <w:szCs w:val="32"/>
        </w:rPr>
        <w:t>与2</w:t>
      </w:r>
      <w:r w:rsidR="006F7BE5">
        <w:rPr>
          <w:rFonts w:ascii="仿宋_GB2312" w:eastAsia="仿宋_GB2312"/>
          <w:sz w:val="32"/>
          <w:szCs w:val="32"/>
        </w:rPr>
        <w:t>022</w:t>
      </w:r>
      <w:r w:rsidR="006F7BE5">
        <w:rPr>
          <w:rFonts w:ascii="仿宋_GB2312" w:eastAsia="仿宋_GB2312" w:hint="eastAsia"/>
          <w:sz w:val="32"/>
          <w:szCs w:val="32"/>
        </w:rPr>
        <w:t>年持平</w:t>
      </w:r>
      <w:r>
        <w:rPr>
          <w:rFonts w:ascii="仿宋_GB2312" w:eastAsia="仿宋_GB2312" w:hint="eastAsia"/>
          <w:sz w:val="32"/>
          <w:szCs w:val="32"/>
        </w:rPr>
        <w:t>。其中：</w:t>
      </w:r>
    </w:p>
    <w:p w14:paraId="03C59046"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1.因公出国（境）费用。2023年预算数0.00万元，与2022年持平。</w:t>
      </w:r>
    </w:p>
    <w:p w14:paraId="4D3C706C"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2.公务接待费。2023年预算数0.00万元，与2022年持平。</w:t>
      </w:r>
    </w:p>
    <w:p w14:paraId="22B1B268"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3.公务用车购置和运行维护费。2023年预算数3.80万元</w:t>
      </w:r>
      <w:r w:rsidR="00064EF7">
        <w:rPr>
          <w:rFonts w:ascii="仿宋_GB2312" w:eastAsia="仿宋_GB2312" w:hint="eastAsia"/>
          <w:sz w:val="32"/>
          <w:szCs w:val="32"/>
        </w:rPr>
        <w:t>，</w:t>
      </w:r>
      <w:r>
        <w:rPr>
          <w:rFonts w:ascii="仿宋_GB2312" w:eastAsia="仿宋_GB2312" w:hint="eastAsia"/>
          <w:sz w:val="32"/>
          <w:szCs w:val="32"/>
        </w:rPr>
        <w:t>其中，公务用车购置费2023年预算数0.00万元</w:t>
      </w:r>
      <w:r w:rsidR="006F7BE5">
        <w:rPr>
          <w:rFonts w:ascii="仿宋_GB2312" w:eastAsia="仿宋_GB2312" w:hint="eastAsia"/>
          <w:sz w:val="32"/>
          <w:szCs w:val="32"/>
        </w:rPr>
        <w:t>，与2</w:t>
      </w:r>
      <w:r w:rsidR="006F7BE5">
        <w:rPr>
          <w:rFonts w:ascii="仿宋_GB2312" w:eastAsia="仿宋_GB2312"/>
          <w:sz w:val="32"/>
          <w:szCs w:val="32"/>
        </w:rPr>
        <w:t>022</w:t>
      </w:r>
      <w:r w:rsidR="006F7BE5">
        <w:rPr>
          <w:rFonts w:ascii="仿宋_GB2312" w:eastAsia="仿宋_GB2312" w:hint="eastAsia"/>
          <w:sz w:val="32"/>
          <w:szCs w:val="32"/>
        </w:rPr>
        <w:t>年持平</w:t>
      </w:r>
      <w:r>
        <w:rPr>
          <w:rFonts w:ascii="仿宋_GB2312" w:eastAsia="仿宋_GB2312" w:hint="eastAsia"/>
          <w:sz w:val="32"/>
          <w:szCs w:val="32"/>
        </w:rPr>
        <w:t>；公务用车运行维护费2023年预算数3.80万元，其中：公务用车燃油0.00万元，公务用车维修3.30万元，公务用车保险0.45万元，其他支出0.05万元</w:t>
      </w:r>
      <w:r w:rsidR="00677665">
        <w:rPr>
          <w:rFonts w:ascii="仿宋_GB2312" w:eastAsia="仿宋_GB2312" w:hint="eastAsia"/>
          <w:sz w:val="32"/>
          <w:szCs w:val="32"/>
        </w:rPr>
        <w:t>，</w:t>
      </w:r>
      <w:r>
        <w:rPr>
          <w:rFonts w:ascii="仿宋_GB2312" w:eastAsia="仿宋_GB2312" w:hint="eastAsia"/>
          <w:sz w:val="32"/>
          <w:szCs w:val="32"/>
        </w:rPr>
        <w:t>与2022年持平。</w:t>
      </w:r>
    </w:p>
    <w:p w14:paraId="16160B16" w14:textId="77777777" w:rsidR="00F52CCA" w:rsidRDefault="0064562C">
      <w:pPr>
        <w:spacing w:line="560" w:lineRule="exact"/>
        <w:ind w:firstLineChars="200" w:firstLine="640"/>
        <w:rPr>
          <w:rFonts w:ascii="黑体" w:eastAsia="黑体"/>
          <w:sz w:val="32"/>
          <w:szCs w:val="32"/>
        </w:rPr>
      </w:pPr>
      <w:r>
        <w:rPr>
          <w:rFonts w:ascii="黑体" w:eastAsia="黑体" w:hint="eastAsia"/>
          <w:sz w:val="32"/>
          <w:szCs w:val="32"/>
        </w:rPr>
        <w:t>五、其他情况说明</w:t>
      </w:r>
    </w:p>
    <w:p w14:paraId="66B41385"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（一）政府采购预算说明</w:t>
      </w:r>
    </w:p>
    <w:p w14:paraId="255DCEED"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2023年北京市盲人学校政府采购预算总额365.88万元，其中：</w:t>
      </w:r>
      <w:r w:rsidR="006F7BE5">
        <w:rPr>
          <w:rFonts w:ascii="仿宋_GB2312" w:eastAsia="仿宋_GB2312" w:hint="eastAsia"/>
          <w:sz w:val="32"/>
          <w:szCs w:val="32"/>
        </w:rPr>
        <w:t>政府采购</w:t>
      </w:r>
      <w:r>
        <w:rPr>
          <w:rFonts w:ascii="仿宋_GB2312" w:eastAsia="仿宋_GB2312" w:hint="eastAsia"/>
          <w:sz w:val="32"/>
          <w:szCs w:val="32"/>
        </w:rPr>
        <w:t>货物预算2.00万元，政府采购工程预算216.88万元，政府采购服务预算</w:t>
      </w:r>
      <w:r w:rsidR="006F7BE5">
        <w:rPr>
          <w:rFonts w:ascii="仿宋_GB2312" w:eastAsia="仿宋_GB2312" w:hint="eastAsia"/>
          <w:sz w:val="32"/>
          <w:szCs w:val="32"/>
        </w:rPr>
        <w:t>147.00</w:t>
      </w:r>
      <w:r>
        <w:rPr>
          <w:rFonts w:ascii="仿宋_GB2312" w:eastAsia="仿宋_GB2312" w:hint="eastAsia"/>
          <w:sz w:val="32"/>
          <w:szCs w:val="32"/>
        </w:rPr>
        <w:t>万元。</w:t>
      </w:r>
    </w:p>
    <w:p w14:paraId="1AD82C5F"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（二）政府购买服务预算说明</w:t>
      </w:r>
    </w:p>
    <w:p w14:paraId="722AFCEB" w14:textId="77777777" w:rsidR="006F7BE5" w:rsidRDefault="006F7BE5" w:rsidP="006F7BE5">
      <w:pPr>
        <w:ind w:firstLine="600"/>
        <w:rPr>
          <w:rFonts w:ascii="仿宋_GB2312" w:eastAsia="仿宋_GB2312"/>
          <w:sz w:val="32"/>
          <w:szCs w:val="32"/>
        </w:rPr>
      </w:pPr>
      <w:r>
        <w:rPr>
          <w:rFonts w:ascii="仿宋_GB2312" w:eastAsia="仿宋_GB2312" w:hint="eastAsia"/>
          <w:sz w:val="32"/>
          <w:szCs w:val="32"/>
        </w:rPr>
        <w:t>2023年北京市盲人学校政府购买服务预算总额</w:t>
      </w:r>
      <w:r>
        <w:rPr>
          <w:rFonts w:ascii="仿宋_GB2312" w:eastAsia="仿宋_GB2312"/>
          <w:sz w:val="32"/>
          <w:szCs w:val="32"/>
        </w:rPr>
        <w:t>0</w:t>
      </w:r>
      <w:r>
        <w:rPr>
          <w:rFonts w:ascii="仿宋_GB2312" w:eastAsia="仿宋_GB2312" w:hint="eastAsia"/>
          <w:sz w:val="32"/>
          <w:szCs w:val="32"/>
        </w:rPr>
        <w:t>万元。</w:t>
      </w:r>
    </w:p>
    <w:p w14:paraId="7635BD5A"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（三）机关运行经费说明</w:t>
      </w:r>
    </w:p>
    <w:p w14:paraId="06AE1AD0"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我单位不在机关运行经费统计范围之内。</w:t>
      </w:r>
    </w:p>
    <w:p w14:paraId="60474D71"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（四）项目支出绩效目标情况说明</w:t>
      </w:r>
    </w:p>
    <w:p w14:paraId="2A72C484"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2023年，北京市盲人学校填报绩效目标的预算项目5个，占本单位本年预算项目5个的100%。填报绩效目标的项目支出预算291.20万元，占本单位本年项目支出预算的100%。</w:t>
      </w:r>
    </w:p>
    <w:p w14:paraId="0FE9B4FA"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（五）重点行政事业性收费情况说明</w:t>
      </w:r>
    </w:p>
    <w:p w14:paraId="13D09711" w14:textId="77777777" w:rsidR="00F52CCA" w:rsidRDefault="0064562C">
      <w:pPr>
        <w:spacing w:line="560" w:lineRule="exact"/>
        <w:ind w:firstLineChars="200" w:firstLine="640"/>
        <w:rPr>
          <w:rFonts w:ascii="仿宋_GB2312" w:eastAsia="仿宋_GB2312"/>
          <w:sz w:val="32"/>
          <w:szCs w:val="32"/>
        </w:rPr>
      </w:pPr>
      <w:r>
        <w:rPr>
          <w:rFonts w:ascii="仿宋_GB2312" w:eastAsia="仿宋_GB2312" w:hint="eastAsia"/>
          <w:sz w:val="32"/>
          <w:szCs w:val="32"/>
        </w:rPr>
        <w:t>本单位2023年无重点行政事业性收费。</w:t>
      </w:r>
    </w:p>
    <w:p w14:paraId="44401C26" w14:textId="77777777" w:rsidR="00F52CCA" w:rsidRDefault="0064562C">
      <w:pPr>
        <w:spacing w:line="560" w:lineRule="exact"/>
        <w:ind w:firstLineChars="200" w:firstLine="640"/>
        <w:rPr>
          <w:rFonts w:ascii="楷体_GB2312" w:eastAsia="楷体_GB2312"/>
          <w:sz w:val="32"/>
          <w:szCs w:val="32"/>
        </w:rPr>
      </w:pPr>
      <w:r>
        <w:rPr>
          <w:rFonts w:ascii="楷体_GB2312" w:eastAsia="楷体_GB2312" w:hint="eastAsia"/>
          <w:sz w:val="32"/>
          <w:szCs w:val="32"/>
        </w:rPr>
        <w:t>（六）国有资本经营预算财政拨款情况说明</w:t>
      </w:r>
    </w:p>
    <w:p w14:paraId="6A84C7C0"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sz w:val="32"/>
          <w:szCs w:val="32"/>
        </w:rPr>
        <w:t>本单位2023</w:t>
      </w:r>
      <w:r>
        <w:rPr>
          <w:rFonts w:ascii="仿宋_GB2312" w:eastAsia="仿宋_GB2312" w:hint="eastAsia"/>
          <w:color w:val="000000"/>
          <w:sz w:val="32"/>
          <w:szCs w:val="32"/>
        </w:rPr>
        <w:t>年无国有资本经营预算财政拨款安排的预算。</w:t>
      </w:r>
    </w:p>
    <w:p w14:paraId="02F00AD0" w14:textId="77777777" w:rsidR="00F52CCA" w:rsidRDefault="0064562C">
      <w:pPr>
        <w:spacing w:line="560" w:lineRule="exact"/>
        <w:ind w:firstLineChars="200" w:firstLine="640"/>
        <w:rPr>
          <w:rFonts w:ascii="楷体_GB2312" w:eastAsia="楷体_GB2312"/>
          <w:color w:val="000000"/>
          <w:sz w:val="32"/>
          <w:szCs w:val="32"/>
        </w:rPr>
      </w:pPr>
      <w:r>
        <w:rPr>
          <w:rFonts w:ascii="楷体_GB2312" w:eastAsia="楷体_GB2312" w:hint="eastAsia"/>
          <w:color w:val="000000"/>
          <w:sz w:val="32"/>
          <w:szCs w:val="32"/>
        </w:rPr>
        <w:lastRenderedPageBreak/>
        <w:t>（七）国有资产占用情况说明</w:t>
      </w:r>
    </w:p>
    <w:p w14:paraId="4DDB7CEB"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截至2022年底，北京市盲人学校共有车辆2台，共计53.82万元；单位价值50万元以上的通用设备0台（套），共计0.00万元，单位价值100万元以上的专用设备0台（套）、共计0.00万元。</w:t>
      </w:r>
    </w:p>
    <w:p w14:paraId="7854156B" w14:textId="77777777" w:rsidR="00F52CCA" w:rsidRDefault="0064562C">
      <w:pPr>
        <w:spacing w:line="560" w:lineRule="exact"/>
        <w:ind w:firstLineChars="200" w:firstLine="640"/>
        <w:rPr>
          <w:rFonts w:ascii="仿宋_GB2312" w:eastAsia="仿宋_GB2312"/>
          <w:color w:val="000000"/>
          <w:spacing w:val="-2"/>
          <w:sz w:val="32"/>
          <w:szCs w:val="32"/>
        </w:rPr>
      </w:pPr>
      <w:r>
        <w:rPr>
          <w:rFonts w:ascii="黑体" w:eastAsia="黑体" w:hint="eastAsia"/>
          <w:color w:val="000000"/>
          <w:sz w:val="32"/>
          <w:szCs w:val="32"/>
        </w:rPr>
        <w:t>六、名词解释</w:t>
      </w:r>
    </w:p>
    <w:p w14:paraId="4CC696BE"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基本支出：指为保障机构正常运转、完成日常工作任务而发生的人员支出和公用支出。</w:t>
      </w:r>
    </w:p>
    <w:p w14:paraId="699944DF"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“三公”经费财政拨款预算数：指本单位当年单位预算安排的因公出国（境）费用、公务接待费、公务用车购置和运行维护费预算数。</w:t>
      </w:r>
    </w:p>
    <w:p w14:paraId="26061037"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政府采购：各级国家机关、事业单位和团体组织，使用财政性资金采购依法制定的集中采购目录以内的或者采购限额标准以上的货物、工程和服务的行为，是规范财政支出管理和强化预算约束的有效措施。</w:t>
      </w:r>
    </w:p>
    <w:p w14:paraId="52C4AF28" w14:textId="77777777" w:rsidR="00F52CCA" w:rsidRDefault="00F52CCA">
      <w:pPr>
        <w:spacing w:line="560" w:lineRule="exact"/>
        <w:jc w:val="center"/>
        <w:rPr>
          <w:rFonts w:ascii="方正小标宋简体" w:eastAsia="方正小标宋简体"/>
          <w:color w:val="000000"/>
          <w:sz w:val="36"/>
          <w:szCs w:val="36"/>
        </w:rPr>
      </w:pPr>
    </w:p>
    <w:p w14:paraId="5E8077F5" w14:textId="77777777" w:rsidR="00F52CCA" w:rsidRPr="006F7BE5" w:rsidRDefault="006F7BE5" w:rsidP="006F7BE5">
      <w:pPr>
        <w:widowControl/>
        <w:jc w:val="left"/>
        <w:rPr>
          <w:rFonts w:ascii="Cambria" w:eastAsia="黑体" w:hAnsi="Cambria" w:cs="Times New Roman"/>
          <w:b/>
          <w:bCs/>
          <w:kern w:val="0"/>
          <w:sz w:val="36"/>
          <w:szCs w:val="32"/>
        </w:rPr>
      </w:pPr>
      <w:r>
        <w:br w:type="page"/>
      </w:r>
    </w:p>
    <w:p w14:paraId="0186D776" w14:textId="77777777" w:rsidR="00F52CCA" w:rsidRDefault="0064562C">
      <w:pPr>
        <w:spacing w:line="560" w:lineRule="exact"/>
        <w:jc w:val="center"/>
        <w:rPr>
          <w:rFonts w:ascii="方正小标宋简体" w:eastAsia="方正小标宋简体"/>
          <w:color w:val="000000"/>
          <w:sz w:val="36"/>
          <w:szCs w:val="36"/>
        </w:rPr>
      </w:pPr>
      <w:r>
        <w:rPr>
          <w:rFonts w:ascii="方正小标宋简体" w:eastAsia="方正小标宋简体" w:hint="eastAsia"/>
          <w:color w:val="000000"/>
          <w:sz w:val="36"/>
          <w:szCs w:val="36"/>
        </w:rPr>
        <w:lastRenderedPageBreak/>
        <w:t>第二部分  2023年度单位预算报表</w:t>
      </w:r>
    </w:p>
    <w:p w14:paraId="2D047B19" w14:textId="77777777" w:rsidR="00F52CCA" w:rsidRDefault="00F52CCA">
      <w:pPr>
        <w:autoSpaceDE w:val="0"/>
        <w:autoSpaceDN w:val="0"/>
        <w:adjustRightInd w:val="0"/>
        <w:spacing w:line="560" w:lineRule="exact"/>
        <w:jc w:val="left"/>
        <w:rPr>
          <w:rFonts w:ascii="方正小标宋简体" w:eastAsia="方正小标宋简体"/>
          <w:color w:val="000000"/>
          <w:sz w:val="36"/>
          <w:szCs w:val="36"/>
        </w:rPr>
      </w:pPr>
    </w:p>
    <w:p w14:paraId="1FF32E86" w14:textId="77777777" w:rsidR="00F52CCA" w:rsidRDefault="0064562C">
      <w:pPr>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附件：北京市盲人学校2023年度单位预算报表</w:t>
      </w:r>
      <w:r>
        <w:rPr>
          <w:rFonts w:ascii="仿宋_GB2312" w:eastAsia="仿宋_GB2312" w:cs="宋体" w:hint="eastAsia"/>
          <w:color w:val="000000"/>
          <w:kern w:val="0"/>
          <w:sz w:val="32"/>
          <w:szCs w:val="32"/>
          <w:lang w:val="zh-CN"/>
        </w:rPr>
        <w:t xml:space="preserve"> </w:t>
      </w:r>
    </w:p>
    <w:p w14:paraId="4F4C91C0" w14:textId="77777777" w:rsidR="00F52CCA" w:rsidRDefault="00F52CCA"/>
    <w:sectPr w:rsidR="00F52C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86BC" w14:textId="77777777" w:rsidR="00CF6E50" w:rsidRDefault="00CF6E50">
      <w:r>
        <w:separator/>
      </w:r>
    </w:p>
  </w:endnote>
  <w:endnote w:type="continuationSeparator" w:id="0">
    <w:p w14:paraId="5A323C76" w14:textId="77777777" w:rsidR="00CF6E50" w:rsidRDefault="00CF6E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Droid Sans">
    <w:altName w:val="微软雅黑"/>
    <w:charset w:val="00"/>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_GB2312">
    <w:altName w:val="楷体"/>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F22F6" w14:textId="77777777" w:rsidR="00F52CCA" w:rsidRDefault="0064562C">
    <w:pPr>
      <w:pStyle w:val="a3"/>
      <w:jc w:val="right"/>
      <w:rPr>
        <w:rFonts w:ascii="宋体" w:hAnsi="宋体"/>
        <w:sz w:val="28"/>
        <w:szCs w:val="28"/>
      </w:rPr>
    </w:pPr>
    <w:r>
      <w:rPr>
        <w:noProof/>
        <w:sz w:val="28"/>
      </w:rPr>
      <mc:AlternateContent>
        <mc:Choice Requires="wps">
          <w:drawing>
            <wp:anchor distT="0" distB="0" distL="114300" distR="114300" simplePos="0" relativeHeight="251659264" behindDoc="0" locked="0" layoutInCell="1" allowOverlap="1" wp14:anchorId="70D9C27B" wp14:editId="6D06D999">
              <wp:simplePos x="0" y="0"/>
              <wp:positionH relativeFrom="margin">
                <wp:align>outside</wp:align>
              </wp:positionH>
              <wp:positionV relativeFrom="paragraph">
                <wp:posOffset>0</wp:posOffset>
              </wp:positionV>
              <wp:extent cx="445135" cy="23050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135" cy="230505"/>
                      </a:xfrm>
                      <a:prstGeom prst="rect">
                        <a:avLst/>
                      </a:prstGeom>
                      <a:noFill/>
                      <a:ln>
                        <a:noFill/>
                      </a:ln>
                    </wps:spPr>
                    <wps:txbx>
                      <w:txbxContent>
                        <w:p w14:paraId="3AD6B898" w14:textId="77777777" w:rsidR="00F52CCA" w:rsidRDefault="0064562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wps:txbx>
                    <wps:bodyPr rot="0" vert="horz" wrap="none" lIns="0" tIns="0" rIns="0" bIns="0" anchor="t" anchorCtr="0" upright="1">
                      <a:spAutoFit/>
                    </wps:bodyPr>
                  </wps:wsp>
                </a:graphicData>
              </a:graphic>
            </wp:anchor>
          </w:drawing>
        </mc:Choice>
        <mc:Fallback>
          <w:pict>
            <v:shapetype w14:anchorId="70D9C27B" id="_x0000_t202" coordsize="21600,21600" o:spt="202" path="m,l,21600r21600,l21600,xe">
              <v:stroke joinstyle="miter"/>
              <v:path gradientshapeok="t" o:connecttype="rect"/>
            </v:shapetype>
            <v:shape id="文本框 3" o:spid="_x0000_s1026" type="#_x0000_t202" style="position:absolute;left:0;text-align:left;margin-left:-16.15pt;margin-top:0;width:35.05pt;height:18.15pt;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" filled="f" stroked="f">
              <v:textbox style="mso-fit-shape-to-text:t" inset="0,0,0,0">
                <w:txbxContent>
                  <w:p w14:paraId="3AD6B898" w14:textId="77777777" w:rsidR="00F52CCA" w:rsidRDefault="0064562C">
                    <w:pPr>
                      <w:pStyle w:val="a3"/>
                      <w:jc w:val="right"/>
                    </w:pPr>
                    <w:r>
                      <w:rPr>
                        <w:rFonts w:ascii="宋体" w:hAnsi="宋体"/>
                        <w:sz w:val="28"/>
                        <w:szCs w:val="28"/>
                      </w:rPr>
                      <w:fldChar w:fldCharType="begin"/>
                    </w:r>
                    <w:r>
                      <w:rPr>
                        <w:rFonts w:ascii="宋体" w:hAnsi="宋体"/>
                        <w:sz w:val="28"/>
                        <w:szCs w:val="28"/>
                      </w:rPr>
                      <w:instrText>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5 -</w:t>
                    </w:r>
                    <w:r>
                      <w:rPr>
                        <w:rFonts w:ascii="宋体" w:hAnsi="宋体"/>
                        <w:sz w:val="28"/>
                        <w:szCs w:val="28"/>
                      </w:rPr>
                      <w:fldChar w:fldCharType="end"/>
                    </w:r>
                  </w:p>
                </w:txbxContent>
              </v:textbox>
              <w10:wrap anchorx="margin"/>
            </v:shape>
          </w:pict>
        </mc:Fallback>
      </mc:AlternateContent>
    </w:r>
  </w:p>
  <w:p w14:paraId="0BECFCD4" w14:textId="77777777" w:rsidR="00F52CCA" w:rsidRDefault="00F52CCA">
    <w:pPr>
      <w:pStyle w:val="a3"/>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67B36" w14:textId="77777777" w:rsidR="00CF6E50" w:rsidRDefault="00CF6E50">
      <w:r>
        <w:separator/>
      </w:r>
    </w:p>
  </w:footnote>
  <w:footnote w:type="continuationSeparator" w:id="0">
    <w:p w14:paraId="0317253B" w14:textId="77777777" w:rsidR="00CF6E50" w:rsidRDefault="00CF6E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265EA0"/>
    <w:multiLevelType w:val="singleLevel"/>
    <w:tmpl w:val="A7265EA0"/>
    <w:lvl w:ilvl="0">
      <w:start w:val="2"/>
      <w:numFmt w:val="chineseCounting"/>
      <w:suff w:val="nothing"/>
      <w:lvlText w:val="（%1）"/>
      <w:lvlJc w:val="left"/>
      <w:rPr>
        <w:rFonts w:hint="eastAsia"/>
      </w:rPr>
    </w:lvl>
  </w:abstractNum>
  <w:abstractNum w:abstractNumId="1" w15:restartNumberingAfterBreak="0">
    <w:nsid w:val="7A08642B"/>
    <w:multiLevelType w:val="hybridMultilevel"/>
    <w:tmpl w:val="40A2E49E"/>
    <w:lvl w:ilvl="0" w:tplc="D264F36C">
      <w:start w:val="2"/>
      <w:numFmt w:val="japaneseCounting"/>
      <w:lvlText w:val="（%1）"/>
      <w:lvlJc w:val="left"/>
      <w:pPr>
        <w:ind w:left="1720" w:hanging="1080"/>
      </w:pPr>
      <w:rPr>
        <w:rFonts w:hint="default"/>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num w:numId="1" w16cid:durableId="469640108">
    <w:abstractNumId w:val="0"/>
  </w:num>
  <w:num w:numId="2" w16cid:durableId="50949009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3AC"/>
    <w:rsid w:val="0006489E"/>
    <w:rsid w:val="00064EF7"/>
    <w:rsid w:val="000F3D42"/>
    <w:rsid w:val="001A46C9"/>
    <w:rsid w:val="001C04C7"/>
    <w:rsid w:val="0035069B"/>
    <w:rsid w:val="003927F3"/>
    <w:rsid w:val="00414023"/>
    <w:rsid w:val="004216B3"/>
    <w:rsid w:val="00431646"/>
    <w:rsid w:val="00605DA0"/>
    <w:rsid w:val="0064562C"/>
    <w:rsid w:val="00677665"/>
    <w:rsid w:val="006A0404"/>
    <w:rsid w:val="006D0014"/>
    <w:rsid w:val="006F7BE5"/>
    <w:rsid w:val="00723189"/>
    <w:rsid w:val="007534AF"/>
    <w:rsid w:val="00903B50"/>
    <w:rsid w:val="009A083D"/>
    <w:rsid w:val="009C741B"/>
    <w:rsid w:val="00A15D05"/>
    <w:rsid w:val="00A16BB7"/>
    <w:rsid w:val="00B26494"/>
    <w:rsid w:val="00BE2FA9"/>
    <w:rsid w:val="00CF6E50"/>
    <w:rsid w:val="00D126F2"/>
    <w:rsid w:val="00D263AC"/>
    <w:rsid w:val="00EF731B"/>
    <w:rsid w:val="00F40686"/>
    <w:rsid w:val="00F52CCA"/>
    <w:rsid w:val="00F8540A"/>
    <w:rsid w:val="00FD37F9"/>
    <w:rsid w:val="014F5783"/>
    <w:rsid w:val="06E77BE0"/>
    <w:rsid w:val="09266296"/>
    <w:rsid w:val="0E560B81"/>
    <w:rsid w:val="120A5FC2"/>
    <w:rsid w:val="1867086E"/>
    <w:rsid w:val="1CCB349B"/>
    <w:rsid w:val="1E3B154D"/>
    <w:rsid w:val="269307C8"/>
    <w:rsid w:val="27B90217"/>
    <w:rsid w:val="2DE24EA8"/>
    <w:rsid w:val="35D3248F"/>
    <w:rsid w:val="3BF570A3"/>
    <w:rsid w:val="3E487917"/>
    <w:rsid w:val="41251634"/>
    <w:rsid w:val="4AC2364F"/>
    <w:rsid w:val="4BD15FF2"/>
    <w:rsid w:val="4C4359BD"/>
    <w:rsid w:val="56BC3897"/>
    <w:rsid w:val="628C4935"/>
    <w:rsid w:val="63484BA0"/>
    <w:rsid w:val="66935168"/>
    <w:rsid w:val="697C4FDD"/>
    <w:rsid w:val="6C5C7ACE"/>
    <w:rsid w:val="6D712268"/>
    <w:rsid w:val="6DF0732A"/>
    <w:rsid w:val="76B2030B"/>
    <w:rsid w:val="798F2222"/>
    <w:rsid w:val="7D0B5DB1"/>
    <w:rsid w:val="7E044B87"/>
    <w:rsid w:val="7EBA29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7D58B6"/>
  <w15:docId w15:val="{7B28EFB8-E8B7-4DB3-A86A-767471197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pPr>
      <w:widowControl w:val="0"/>
      <w:jc w:val="both"/>
    </w:pPr>
    <w:rPr>
      <w:rFonts w:ascii="Times New Roman" w:eastAsia="宋体" w:hAnsi="Times New Roman" w:cs="Droid Sans"/>
      <w:kern w:val="2"/>
      <w:sz w:val="21"/>
      <w:szCs w:val="24"/>
    </w:rPr>
  </w:style>
  <w:style w:type="paragraph" w:styleId="2">
    <w:name w:val="heading 2"/>
    <w:basedOn w:val="a"/>
    <w:next w:val="a"/>
    <w:link w:val="20"/>
    <w:qFormat/>
    <w:pPr>
      <w:keepNext/>
      <w:keepLines/>
      <w:spacing w:before="100" w:beforeAutospacing="1" w:after="100" w:afterAutospacing="1"/>
      <w:outlineLvl w:val="1"/>
    </w:pPr>
    <w:rPr>
      <w:rFonts w:ascii="Cambria" w:eastAsia="黑体" w:hAnsi="Cambria" w:cs="Times New Roman"/>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character" w:customStyle="1" w:styleId="20">
    <w:name w:val="标题 2 字符"/>
    <w:basedOn w:val="a0"/>
    <w:link w:val="2"/>
    <w:qFormat/>
    <w:rPr>
      <w:rFonts w:ascii="Cambria" w:eastAsia="黑体" w:hAnsi="Cambria" w:cs="Times New Roman"/>
      <w:b/>
      <w:bCs/>
      <w:kern w:val="0"/>
      <w:sz w:val="36"/>
      <w:szCs w:val="32"/>
    </w:rPr>
  </w:style>
  <w:style w:type="paragraph" w:styleId="a7">
    <w:name w:val="List Paragraph"/>
    <w:basedOn w:val="a"/>
    <w:uiPriority w:val="99"/>
    <w:rsid w:val="001C04C7"/>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3" Type="http://schemas.openxmlformats.org/officeDocument/2006/relationships/oleObject" Target="file:///C:\Users\mrxx\Desktop\&#35745;&#31639;&#22120;.xlsx"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C:\Users\mrxx\Desktop\&#35745;&#31639;&#22120;.xlsx" TargetMode="External"/><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25121465551573102"/>
          <c:y val="8.0820718128362307E-2"/>
          <c:w val="0.490561529271207"/>
          <c:h val="0.77054923057675495"/>
        </c:manualLayout>
      </c:layout>
      <c:pieChart>
        <c:varyColors val="1"/>
        <c:ser>
          <c:idx val="0"/>
          <c:order val="0"/>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1-6D34-4BD8-BF59-76D0BB58327E}"/>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3-6D34-4BD8-BF59-76D0BB58327E}"/>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5-6D34-4BD8-BF59-76D0BB58327E}"/>
              </c:ext>
            </c:extLst>
          </c:dPt>
          <c:dLbls>
            <c:dLbl>
              <c:idx val="0"/>
              <c:layout>
                <c:manualLayout>
                  <c:x val="0"/>
                  <c:y val="-0.15565389897756801"/>
                </c:manualLayout>
              </c:layout>
              <c:tx>
                <c:rich>
                  <a:bodyPr/>
                  <a:lstStyle/>
                  <a:p>
                    <a:r>
                      <a:rPr lang="en-US" altLang="zh-CN">
                        <a:solidFill>
                          <a:schemeClr val="tx1"/>
                        </a:solidFill>
                      </a:rPr>
                      <a:t>99.90</a:t>
                    </a:r>
                    <a:r>
                      <a:rPr lang="en-US">
                        <a:solidFill>
                          <a:schemeClr val="tx1"/>
                        </a:solidFill>
                      </a:rPr>
                      <a:t>%</a:t>
                    </a:r>
                  </a:p>
                </c:rich>
              </c:tx>
              <c:dLblPos val="bestFit"/>
              <c:showLegendKey val="0"/>
              <c:showVal val="0"/>
              <c:showCatName val="1"/>
              <c:showSerName val="0"/>
              <c:showPercent val="1"/>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1-6D34-4BD8-BF59-76D0BB58327E}"/>
                </c:ext>
              </c:extLst>
            </c:dLbl>
            <c:dLbl>
              <c:idx val="1"/>
              <c:layout>
                <c:manualLayout>
                  <c:x val="-3.8231780167264001E-2"/>
                  <c:y val="1.4801804376060599E-2"/>
                </c:manualLayout>
              </c:layout>
              <c:tx>
                <c:rich>
                  <a:bodyPr/>
                  <a:lstStyle/>
                  <a:p>
                    <a:endParaRPr lang="en-US" altLang="zh-CN">
                      <a:solidFill>
                        <a:schemeClr val="tx1"/>
                      </a:solidFill>
                    </a:endParaRPr>
                  </a:p>
                  <a:p>
                    <a:r>
                      <a:rPr lang="en-US" altLang="zh-CN">
                        <a:solidFill>
                          <a:schemeClr val="tx1"/>
                        </a:solidFill>
                      </a:rPr>
                      <a:t>0.00684%</a:t>
                    </a:r>
                  </a:p>
                </c:rich>
              </c:tx>
              <c:dLblPos val="bestFit"/>
              <c:showLegendKey val="0"/>
              <c:showVal val="0"/>
              <c:showCatName val="1"/>
              <c:showSerName val="0"/>
              <c:showPercent val="1"/>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3-6D34-4BD8-BF59-76D0BB58327E}"/>
                </c:ext>
              </c:extLst>
            </c:dLbl>
            <c:dLbl>
              <c:idx val="2"/>
              <c:layout>
                <c:manualLayout>
                  <c:x val="5.01792114695341E-2"/>
                  <c:y val="4.8534892463249601E-2"/>
                </c:manualLayout>
              </c:layout>
              <c:tx>
                <c:rich>
                  <a:bodyPr/>
                  <a:lstStyle/>
                  <a:p>
                    <a:endParaRPr lang="en-US" altLang="zh-CN">
                      <a:solidFill>
                        <a:schemeClr val="tx1"/>
                      </a:solidFill>
                    </a:endParaRPr>
                  </a:p>
                  <a:p>
                    <a:r>
                      <a:rPr lang="en-US" altLang="zh-CN">
                        <a:solidFill>
                          <a:schemeClr val="tx1"/>
                        </a:solidFill>
                      </a:rPr>
                      <a:t>0.09316%</a:t>
                    </a:r>
                  </a:p>
                </c:rich>
              </c:tx>
              <c:dLblPos val="bestFit"/>
              <c:showLegendKey val="0"/>
              <c:showVal val="0"/>
              <c:showCatName val="1"/>
              <c:showSerName val="0"/>
              <c:showPercent val="1"/>
              <c:showBubbleSize val="0"/>
              <c:separator>
</c:separator>
              <c:extLst>
                <c:ext xmlns:c15="http://schemas.microsoft.com/office/drawing/2012/chart" uri="{CE6537A1-D6FC-4f65-9D91-7224C49458BB}">
                  <c15:showDataLabelsRange val="0"/>
                </c:ext>
                <c:ext xmlns:c16="http://schemas.microsoft.com/office/drawing/2014/chart" uri="{C3380CC4-5D6E-409C-BE32-E72D297353CC}">
                  <c16:uniqueId val="{00000005-6D34-4BD8-BF59-76D0BB58327E}"/>
                </c:ext>
              </c:extLst>
            </c:dLbl>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outEnd"/>
            <c:showLegendKey val="0"/>
            <c:showVal val="0"/>
            <c:showCatName val="1"/>
            <c:showSerName val="0"/>
            <c:showPercent val="1"/>
            <c:showBubbleSize val="0"/>
            <c:showLeaderLines val="0"/>
            <c:extLst>
              <c:ext xmlns:c15="http://schemas.microsoft.com/office/drawing/2012/chart" uri="{CE6537A1-D6FC-4f65-9D91-7224C49458BB}"/>
            </c:extLst>
          </c:dLbls>
          <c:cat>
            <c:strRef>
              <c:f>[计算器.xlsx]Sheet13!$G$9:$G$11</c:f>
              <c:strCache>
                <c:ptCount val="3"/>
                <c:pt idx="0">
                  <c:v>一般公共预算拨款收入</c:v>
                </c:pt>
                <c:pt idx="1">
                  <c:v>财政专户管理资金收入</c:v>
                </c:pt>
                <c:pt idx="2">
                  <c:v>其他收入</c:v>
                </c:pt>
              </c:strCache>
            </c:strRef>
          </c:cat>
          <c:val>
            <c:numRef>
              <c:f>[计算器.xlsx]Sheet13!$H$9:$H$11</c:f>
              <c:numCache>
                <c:formatCode>#,##0.00</c:formatCode>
                <c:ptCount val="3"/>
                <c:pt idx="0">
                  <c:v>5362.01</c:v>
                </c:pt>
                <c:pt idx="1">
                  <c:v>0.2</c:v>
                </c:pt>
                <c:pt idx="2">
                  <c:v>5</c:v>
                </c:pt>
              </c:numCache>
            </c:numRef>
          </c:val>
          <c:extLst>
            <c:ext xmlns:c16="http://schemas.microsoft.com/office/drawing/2014/chart" uri="{C3380CC4-5D6E-409C-BE32-E72D297353CC}">
              <c16:uniqueId val="{00000006-6D34-4BD8-BF59-76D0BB58327E}"/>
            </c:ext>
          </c:extLst>
        </c:ser>
        <c:ser>
          <c:idx val="1"/>
          <c:order val="1"/>
          <c:dPt>
            <c:idx val="0"/>
            <c:bubble3D val="0"/>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8-6D34-4BD8-BF59-76D0BB58327E}"/>
              </c:ext>
            </c:extLst>
          </c:dPt>
          <c:dPt>
            <c:idx val="1"/>
            <c:bubble3D val="0"/>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A-6D34-4BD8-BF59-76D0BB58327E}"/>
              </c:ext>
            </c:extLst>
          </c:dPt>
          <c:dPt>
            <c:idx val="2"/>
            <c:bubble3D val="0"/>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c:spPr>
            <c:extLst>
              <c:ext xmlns:c16="http://schemas.microsoft.com/office/drawing/2014/chart" uri="{C3380CC4-5D6E-409C-BE32-E72D297353CC}">
                <c16:uniqueId val="{0000000C-6D34-4BD8-BF59-76D0BB58327E}"/>
              </c:ext>
            </c:extLst>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endParaRPr lang="zh-CN"/>
              </a:p>
            </c:tx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[计算器.xlsx]Sheet13!$G$9:$G$11</c:f>
              <c:strCache>
                <c:ptCount val="3"/>
                <c:pt idx="0">
                  <c:v>一般公共预算拨款收入</c:v>
                </c:pt>
                <c:pt idx="1">
                  <c:v>财政专户管理资金收入</c:v>
                </c:pt>
                <c:pt idx="2">
                  <c:v>其他收入</c:v>
                </c:pt>
              </c:strCache>
            </c:strRef>
          </c:cat>
          <c:val>
            <c:numRef>
              <c:f>[计算器.xlsx]Sheet13!$I$9:$I$11</c:f>
              <c:numCache>
                <c:formatCode>0%</c:formatCode>
                <c:ptCount val="3"/>
                <c:pt idx="0">
                  <c:v>0.99903115398875797</c:v>
                </c:pt>
                <c:pt idx="1">
                  <c:v>3.7299445543742E-5</c:v>
                </c:pt>
                <c:pt idx="2">
                  <c:v>9.3248613859355E-4</c:v>
                </c:pt>
              </c:numCache>
            </c:numRef>
          </c:val>
          <c:extLst>
            <c:ext xmlns:c16="http://schemas.microsoft.com/office/drawing/2014/chart" uri="{C3380CC4-5D6E-409C-BE32-E72D297353CC}">
              <c16:uniqueId val="{0000000D-6D34-4BD8-BF59-76D0BB58327E}"/>
            </c:ext>
          </c:extLst>
        </c:ser>
        <c:dLbls>
          <c:showLegendKey val="0"/>
          <c:showVal val="0"/>
          <c:showCatName val="0"/>
          <c:showSerName val="0"/>
          <c:showPercent val="1"/>
          <c:showBubbleSize val="0"/>
          <c:showLeaderLines val="0"/>
        </c:dLbls>
        <c:firstSliceAng val="0"/>
      </c:pieChart>
      <c:spPr>
        <a:noFill/>
        <a:ln>
          <a:noFill/>
        </a:ln>
        <a:effectLst/>
      </c:spPr>
    </c:plotArea>
    <c:legend>
      <c:legendPos val="r"/>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endParaRPr lang="zh-CN"/>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endParaRPr lang="zh-CN"/>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pieChart>
        <c:varyColors val="1"/>
        <c:ser>
          <c:idx val="0"/>
          <c:order val="0"/>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1-48C3-48C3-B828-5DF39ADF3516}"/>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3-48C3-48C3-B828-5DF39ADF3516}"/>
              </c:ext>
            </c:extLst>
          </c:dPt>
          <c:dLbls>
            <c:dLbl>
              <c:idx val="0"/>
              <c:tx>
                <c:rich>
                  <a:bodyPr/>
                  <a:lstStyle/>
                  <a:p>
                    <a:r>
                      <a:rPr lang="en-US" altLang="zh-CN"/>
                      <a:t>94.57%</a:t>
                    </a:r>
                  </a:p>
                </c:rich>
              </c:tx>
              <c:dLblPos val="ctr"/>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48C3-48C3-B828-5DF39ADF3516}"/>
                </c:ext>
              </c:extLst>
            </c:dLbl>
            <c:dLbl>
              <c:idx val="1"/>
              <c:layout>
                <c:manualLayout>
                  <c:x val="4.4649010237600401E-2"/>
                  <c:y val="9.3768816270124497E-2"/>
                </c:manualLayout>
              </c:layout>
              <c:tx>
                <c:rich>
                  <a:bodyPr/>
                  <a:lstStyle/>
                  <a:p>
                    <a:r>
                      <a:rPr lang="en-US" altLang="zh-CN"/>
                      <a:t>5.43%</a:t>
                    </a:r>
                  </a:p>
                </c:rich>
              </c:tx>
              <c:dLblPos val="bestFit"/>
              <c:showLegendKey val="0"/>
              <c:showVal val="0"/>
              <c:showCatName val="0"/>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48C3-48C3-B828-5DF39ADF3516}"/>
                </c:ext>
              </c:extLst>
            </c:dLbl>
            <c:spPr>
              <a:noFill/>
              <a:ln>
                <a:noFill/>
              </a:ln>
              <a:effectLst/>
            </c:spPr>
            <c:txPr>
              <a:bodyPr rot="0" spcFirstLastPara="0" vertOverflow="ellipsis" vert="horz" wrap="square" lIns="38100" tIns="19050" rIns="38100" bIns="19050" anchor="ctr" anchorCtr="1"/>
              <a:lstStyle/>
              <a:p>
                <a:pPr>
                  <a:defRPr lang="zh-CN" sz="1000" b="1" i="0" u="none" strike="noStrike" kern="1200" baseline="0">
                    <a:solidFill>
                      <a:schemeClr val="tx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[计算器.xlsx]Sheet17!$A$1:$A$2</c:f>
              <c:strCache>
                <c:ptCount val="2"/>
                <c:pt idx="0">
                  <c:v>基本支出</c:v>
                </c:pt>
                <c:pt idx="1">
                  <c:v>项目支出</c:v>
                </c:pt>
              </c:strCache>
            </c:strRef>
          </c:cat>
          <c:val>
            <c:numRef>
              <c:f>[计算器.xlsx]Sheet17!$B$1:$B$2</c:f>
              <c:numCache>
                <c:formatCode>#,##0.00</c:formatCode>
                <c:ptCount val="2"/>
                <c:pt idx="0">
                  <c:v>5076.01</c:v>
                </c:pt>
                <c:pt idx="1">
                  <c:v>291.2</c:v>
                </c:pt>
              </c:numCache>
            </c:numRef>
          </c:val>
          <c:extLst>
            <c:ext xmlns:c16="http://schemas.microsoft.com/office/drawing/2014/chart" uri="{C3380CC4-5D6E-409C-BE32-E72D297353CC}">
              <c16:uniqueId val="{00000004-48C3-48C3-B828-5DF39ADF3516}"/>
            </c:ext>
          </c:extLst>
        </c:ser>
        <c:ser>
          <c:idx val="1"/>
          <c:order val="1"/>
          <c:dPt>
            <c:idx val="0"/>
            <c:bubble3D val="0"/>
            <c:spPr>
              <a:solidFill>
                <a:schemeClr val="accent1"/>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6-48C3-48C3-B828-5DF39ADF3516}"/>
              </c:ext>
            </c:extLst>
          </c:dPt>
          <c:dPt>
            <c:idx val="1"/>
            <c:bubble3D val="0"/>
            <c:spPr>
              <a:solidFill>
                <a:schemeClr val="accent2"/>
              </a:solidFill>
              <a:ln>
                <a:noFill/>
              </a:ln>
              <a:effectLst>
                <a:outerShdw blurRad="254000" sx="102000" sy="102000" algn="ctr" rotWithShape="0">
                  <a:prstClr val="black">
                    <a:alpha val="20000"/>
                  </a:prstClr>
                </a:outerShdw>
              </a:effectLst>
            </c:spPr>
            <c:extLst>
              <c:ext xmlns:c16="http://schemas.microsoft.com/office/drawing/2014/chart" uri="{C3380CC4-5D6E-409C-BE32-E72D297353CC}">
                <c16:uniqueId val="{00000008-48C3-48C3-B828-5DF39ADF3516}"/>
              </c:ext>
            </c:extLst>
          </c:dPt>
          <c:dLbls>
            <c:spPr>
              <a:pattFill prst="pct75">
                <a:fgClr>
                  <a:schemeClr val="dk1">
                    <a:lumMod val="75000"/>
                    <a:lumOff val="25000"/>
                  </a:schemeClr>
                </a:fgClr>
                <a:bgClr>
                  <a:schemeClr val="dk1">
                    <a:lumMod val="65000"/>
                    <a:lumOff val="35000"/>
                  </a:schemeClr>
                </a:bgClr>
              </a:pattFill>
              <a:ln>
                <a:noFill/>
              </a:ln>
              <a:effectLst>
                <a:outerShdw blurRad="50800" dist="38100" dir="2700000" algn="tl" rotWithShape="0">
                  <a:prstClr val="black">
                    <a:alpha val="40000"/>
                  </a:prstClr>
                </a:outerShdw>
              </a:effectLst>
            </c:spPr>
            <c:txPr>
              <a:bodyPr rot="0" spcFirstLastPara="0" vertOverflow="ellipsis" vert="horz" wrap="square" lIns="38100" tIns="19050" rIns="38100" bIns="19050" anchor="ctr" anchorCtr="1"/>
              <a:lstStyle/>
              <a:p>
                <a:pPr>
                  <a:defRPr lang="zh-CN" sz="1000" b="1" i="0" u="none" strike="noStrike" kern="1200" baseline="0">
                    <a:solidFill>
                      <a:schemeClr val="lt1"/>
                    </a:solidFill>
                    <a:latin typeface="+mn-lt"/>
                    <a:ea typeface="+mn-ea"/>
                    <a:cs typeface="+mn-cs"/>
                  </a:defRPr>
                </a:pPr>
                <a:endParaRPr lang="zh-CN"/>
              </a:p>
            </c:txPr>
            <c:dLblPos val="ctr"/>
            <c:showLegendKey val="0"/>
            <c:showVal val="0"/>
            <c:showCatName val="0"/>
            <c:showSerName val="0"/>
            <c:showPercent val="1"/>
            <c:showBubbleSize val="0"/>
            <c:showLeaderLines val="1"/>
            <c:leaderLines>
              <c:spPr>
                <a:ln w="9525">
                  <a:solidFill>
                    <a:schemeClr val="dk1">
                      <a:lumMod val="50000"/>
                      <a:lumOff val="50000"/>
                    </a:schemeClr>
                  </a:solidFill>
                </a:ln>
                <a:effectLst/>
              </c:spPr>
            </c:leaderLines>
            <c:extLst>
              <c:ext xmlns:c15="http://schemas.microsoft.com/office/drawing/2012/chart" uri="{CE6537A1-D6FC-4f65-9D91-7224C49458BB}"/>
            </c:extLst>
          </c:dLbls>
          <c:cat>
            <c:strRef>
              <c:f>[计算器.xlsx]Sheet17!$A$1:$A$2</c:f>
              <c:strCache>
                <c:ptCount val="2"/>
                <c:pt idx="0">
                  <c:v>基本支出</c:v>
                </c:pt>
                <c:pt idx="1">
                  <c:v>项目支出</c:v>
                </c:pt>
              </c:strCache>
            </c:strRef>
          </c:cat>
          <c:val>
            <c:numRef>
              <c:f>[计算器.xlsx]Sheet17!$C$1:$C$2</c:f>
              <c:numCache>
                <c:formatCode>0.00%</c:formatCode>
                <c:ptCount val="2"/>
                <c:pt idx="0">
                  <c:v>0.94574462337042897</c:v>
                </c:pt>
                <c:pt idx="1">
                  <c:v>5.4255376629571E-2</c:v>
                </c:pt>
              </c:numCache>
            </c:numRef>
          </c:val>
          <c:extLst>
            <c:ext xmlns:c16="http://schemas.microsoft.com/office/drawing/2014/chart" uri="{C3380CC4-5D6E-409C-BE32-E72D297353CC}">
              <c16:uniqueId val="{00000009-48C3-48C3-B828-5DF39ADF3516}"/>
            </c:ext>
          </c:extLst>
        </c:ser>
        <c:dLbls>
          <c:showLegendKey val="0"/>
          <c:showVal val="0"/>
          <c:showCatName val="0"/>
          <c:showSerName val="0"/>
          <c:showPercent val="1"/>
          <c:showBubbleSize val="0"/>
          <c:showLeaderLines val="1"/>
        </c:dLbls>
        <c:firstSliceAng val="0"/>
      </c:pieChart>
      <c:spPr>
        <a:noFill/>
        <a:ln>
          <a:noFill/>
        </a:ln>
        <a:effectLst/>
      </c:spPr>
    </c:plotArea>
    <c:legend>
      <c:legendPos val="r"/>
      <c:overlay val="0"/>
      <c:spPr>
        <a:solidFill>
          <a:schemeClr val="lt1">
            <a:lumMod val="95000"/>
            <a:alpha val="39000"/>
          </a:schemeClr>
        </a:solidFill>
        <a:ln>
          <a:noFill/>
        </a:ln>
        <a:effectLst/>
      </c:spPr>
      <c:txPr>
        <a:bodyPr rot="0" spcFirstLastPara="0" vertOverflow="ellipsis" vert="horz" wrap="square" anchor="ctr" anchorCtr="1"/>
        <a:lstStyle/>
        <a:p>
          <a:pPr>
            <a:defRPr lang="zh-CN" sz="900" b="0" i="0" u="none" strike="noStrike" kern="1200" baseline="0">
              <a:solidFill>
                <a:schemeClr val="dk1">
                  <a:lumMod val="75000"/>
                  <a:lumOff val="25000"/>
                </a:schemeClr>
              </a:solidFill>
              <a:latin typeface="+mn-lt"/>
              <a:ea typeface="+mn-ea"/>
              <a:cs typeface="+mn-cs"/>
            </a:defRPr>
          </a:pPr>
          <a:endParaRPr lang="zh-CN"/>
        </a:p>
      </c:txPr>
    </c:legend>
    <c:plotVisOnly val="1"/>
    <c:dispBlanksAs val="gap"/>
    <c:showDLblsOverMax val="0"/>
  </c:chart>
  <c:spPr>
    <a:noFill/>
    <a:ln w="9525" cap="flat" cmpd="sng" algn="ctr">
      <a:solidFill>
        <a:schemeClr val="dk1">
          <a:lumMod val="25000"/>
          <a:lumOff val="75000"/>
        </a:schemeClr>
      </a:solidFill>
      <a:round/>
    </a:ln>
    <a:effectLst/>
  </c:spPr>
  <c:txPr>
    <a:bodyPr/>
    <a:lstStyle/>
    <a:p>
      <a:pPr>
        <a:defRPr lang="zh-CN"/>
      </a:pPr>
      <a:endParaRPr lang="zh-CN"/>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44">
  <cs:axisTitle>
    <cs:lnRef idx="0"/>
    <cs:fillRef idx="0"/>
    <cs:effectRef idx="0"/>
    <cs:fontRef idx="minor">
      <a:schemeClr val="tx1">
        <a:lumMod val="65000"/>
        <a:lumOff val="35000"/>
      </a:schemeClr>
    </cs:fontRef>
    <cs:defRPr sz="900" kern="1200"/>
  </cs:axisTitle>
  <cs:category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3"/>
    <cs:fontRef idx="minor">
      <a:schemeClr val="tx1"/>
    </cs:fontRef>
  </cs:dataPoint>
  <cs:dataPoint3D>
    <cs:lnRef idx="0"/>
    <cs:fillRef idx="3">
      <cs:styleClr val="auto"/>
    </cs:fillRef>
    <cs:effectRef idx="3"/>
    <cs:fontRef idx="minor">
      <a:schemeClr val="tx1"/>
    </cs:fontRef>
  </cs:dataPoint3D>
  <cs:dataPointLine>
    <cs:lnRef idx="0">
      <cs:styleClr val="auto"/>
    </cs:lnRef>
    <cs:fillRef idx="3"/>
    <cs:effectRef idx="3"/>
    <cs:fontRef idx="minor">
      <a:schemeClr val="tx1"/>
    </cs:fontRef>
    <cs:spPr>
      <a:ln w="34925" cap="rnd">
        <a:solidFill>
          <a:schemeClr val="phClr"/>
        </a:solidFill>
        <a:round/>
      </a:ln>
    </cs:spPr>
  </cs:dataPointLine>
  <cs:dataPointMarker>
    <cs:lnRef idx="0">
      <cs:styleClr val="auto"/>
    </cs:lnRef>
    <cs:fillRef idx="3">
      <cs:styleClr val="auto"/>
    </cs:fillRef>
    <cs:effectRef idx="3"/>
    <cs:fontRef idx="minor">
      <a:schemeClr val="tx1"/>
    </cs:fontRef>
    <cs:spPr>
      <a:ln w="9525">
        <a:solidFill>
          <a:schemeClr val="phClr"/>
        </a:solidFill>
        <a:round/>
      </a:ln>
    </cs:spPr>
  </cs:dataPointMarker>
  <cs:dataPointMarkerLayout symbol="circle" size="6"/>
  <cs:dataPointWireframe>
    <cs:lnRef idx="0">
      <cs:styleClr val="auto"/>
    </cs:lnRef>
    <cs:fillRef idx="3"/>
    <cs:effectRef idx="3"/>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lt1"/>
    </cs:fontRef>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cs:lnRef idx="0"/>
    <cs:fillRef idx="0"/>
    <cs:effectRef idx="0"/>
    <cs:fontRef idx="minor">
      <a:schemeClr val="lt1"/>
    </cs:fontRef>
  </cs:plotArea>
  <cs:plotArea3D>
    <cs:lnRef idx="0"/>
    <cs:fillRef idx="0"/>
    <cs:effectRef idx="0"/>
    <cs:fontRef idx="minor">
      <a:schemeClr val="lt1"/>
    </cs:fontRef>
  </cs:plotArea3D>
  <cs:seriesAxis>
    <cs:lnRef idx="0"/>
    <cs:fillRef idx="0"/>
    <cs:effectRef idx="0"/>
    <cs:fontRef idx="minor">
      <a:schemeClr val="tx1">
        <a:lumMod val="65000"/>
        <a:lumOff val="35000"/>
      </a:schemeClr>
    </cs:fontRef>
    <cs:spPr>
      <a:ln w="12700"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baseline="0"/>
  </cs:title>
  <cs:trendline>
    <cs:lnRef idx="0">
      <cs:styleClr val="auto"/>
    </cs:lnRef>
    <cs:fillRef idx="0"/>
    <cs:effectRef idx="0"/>
    <cs:fontRef idx="minor">
      <a:schemeClr val="lt1"/>
    </cs:fontRef>
    <cs:spPr>
      <a:ln w="19050" cap="rnd">
        <a:solidFill>
          <a:schemeClr val="phClr"/>
        </a:solidFill>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lt1"/>
    </cs:fontRef>
  </cs:wall>
</cs:chartStyle>
</file>

<file path=word/charts/style2.xml><?xml version="1.0" encoding="utf-8"?>
<cs:chartStyle xmlns:cs="http://schemas.microsoft.com/office/drawing/2012/chartStyle" xmlns:a="http://schemas.openxmlformats.org/drawingml/2006/main" id="253">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gradFill>
      <a:ln w="9525" cap="flat" cmpd="sng" algn="ctr">
        <a:solidFill>
          <a:schemeClr val="dk1">
            <a:lumMod val="25000"/>
            <a:lumOff val="75000"/>
          </a:schemeClr>
        </a:solidFill>
        <a:round/>
      </a:ln>
    </cs:spPr>
    <cs:defRPr sz="900" kern="1200"/>
  </cs:chartArea>
  <cs:dataLabel>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dataLabel>
  <cs:dataLabelCallout>
    <cs:lnRef idx="0"/>
    <cs:fillRef idx="0"/>
    <cs:effectRef idx="0"/>
    <cs:fontRef idx="minor">
      <a:schemeClr val="lt1"/>
    </cs:fontRef>
    <cs:spPr>
      <a:pattFill prst="pct75">
        <a:fgClr>
          <a:schemeClr val="dk1">
            <a:lumMod val="75000"/>
            <a:lumOff val="25000"/>
          </a:schemeClr>
        </a:fgClr>
        <a:bgClr>
          <a:schemeClr val="dk1">
            <a:lumMod val="65000"/>
            <a:lumOff val="35000"/>
          </a:schemeClr>
        </a:bgClr>
      </a:pattFill>
      <a:effectLst>
        <a:outerShdw blurRad="50800" dist="38100" dir="2700000" algn="tl" rotWithShape="0">
          <a:prstClr val="black">
            <a:alpha val="40000"/>
          </a:prstClr>
        </a:outerShdw>
      </a:effectLst>
    </cs:spPr>
    <cs:defRPr sz="1000" b="1" i="0" u="none" strike="noStrike" kern="1200" baseline="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254000" sx="102000" sy="102000" algn="ctr" rotWithShape="0">
          <a:prstClr val="black">
            <a:alpha val="20000"/>
          </a:prstClr>
        </a:outerShdw>
      </a:effectLst>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floor>
  <cs:gridlineMajor>
    <cs:lnRef idx="0"/>
    <cs:fillRef idx="0"/>
    <cs:effectRef idx="0"/>
    <cs:fontRef idx="minor">
      <a:schemeClr val="dk1"/>
    </cs:fontRef>
    <cs:spPr>
      <a:ln w="9525" cap="flat" cmpd="sng" algn="ctr">
        <a:gradFill>
          <a:gsLst>
            <a:gs pos="100000">
              <a:schemeClr val="dk1">
                <a:lumMod val="95000"/>
                <a:lumOff val="5000"/>
                <a:alpha val="42000"/>
              </a:schemeClr>
            </a:gs>
            <a:gs pos="0">
              <a:schemeClr val="lt1">
                <a:lumMod val="75000"/>
                <a:alpha val="36000"/>
              </a:schemeClr>
            </a:gs>
          </a:gsLst>
          <a:lin ang="5400000" scaled="0"/>
        </a:gradFill>
        <a:round/>
      </a:ln>
    </cs:spPr>
  </cs:gridlineMajor>
  <cs:gridlineMinor>
    <cs:lnRef idx="0"/>
    <cs:fillRef idx="0"/>
    <cs:effectRef idx="0"/>
    <cs:fontRef idx="minor">
      <a:schemeClr val="dk1"/>
    </cs:fontRef>
    <cs:spPr>
      <a:ln>
        <a:gradFill>
          <a:gsLst>
            <a:gs pos="100000">
              <a:schemeClr val="dk1">
                <a:lumMod val="95000"/>
                <a:lumOff val="5000"/>
                <a:alpha val="42000"/>
              </a:schemeClr>
            </a:gs>
            <a:gs pos="0">
              <a:schemeClr val="lt1">
                <a:lumMod val="75000"/>
                <a:alpha val="36000"/>
              </a:schemeClr>
            </a:gs>
          </a:gsLst>
          <a:lin ang="5400000" scaled="0"/>
        </a:gradFill>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a:ln w="31750" cap="flat" cmpd="sng" algn="ctr">
        <a:solidFill>
          <a:schemeClr val="dk1">
            <a:lumMod val="75000"/>
            <a:lumOff val="25000"/>
          </a:schemeClr>
        </a:solidFill>
        <a:round/>
      </a:ln>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8</Pages>
  <Words>377</Words>
  <Characters>2154</Characters>
  <Application>Microsoft Office Word</Application>
  <DocSecurity>0</DocSecurity>
  <Lines>17</Lines>
  <Paragraphs>5</Paragraphs>
  <ScaleCrop>false</ScaleCrop>
  <Company/>
  <LinksUpToDate>false</LinksUpToDate>
  <CharactersWithSpaces>2526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 Katherine</dc:creator>
  <cp:lastModifiedBy>li Katherine</cp:lastModifiedBy>
  <cp:revision>21</cp:revision>
  <cp:lastPrinted>2023-02-23T01:21:00Z</cp:lastPrinted>
  <dcterms:created xsi:type="dcterms:W3CDTF">2023-02-15T02:41:00Z</dcterms:created>
  <dcterms:modified xsi:type="dcterms:W3CDTF">2023-03-08T04:07:00Z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2052-11.8.2.8959</vt:lpwstr>
  </property>
</Properties>
</file>