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10F20" w14:textId="77777777" w:rsidR="006E7ECE" w:rsidRDefault="006E7ECE">
      <w:pPr>
        <w:pStyle w:val="2"/>
        <w:spacing w:line="240" w:lineRule="exact"/>
      </w:pPr>
    </w:p>
    <w:p w14:paraId="05AE0F2D" w14:textId="77777777" w:rsidR="006E7ECE"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北京教育学院2023年财政预算信息公开</w:t>
      </w:r>
    </w:p>
    <w:p w14:paraId="0188EEF1" w14:textId="77777777" w:rsidR="006E7ECE" w:rsidRDefault="006E7ECE">
      <w:pPr>
        <w:spacing w:line="240" w:lineRule="exact"/>
        <w:jc w:val="center"/>
        <w:rPr>
          <w:rFonts w:ascii="方正小标宋简体" w:eastAsia="方正小标宋简体"/>
          <w:color w:val="000000"/>
          <w:sz w:val="32"/>
          <w:szCs w:val="32"/>
        </w:rPr>
      </w:pPr>
    </w:p>
    <w:p w14:paraId="7D4352DD" w14:textId="77777777" w:rsidR="006E7ECE"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1ACED4C9" w14:textId="77777777" w:rsidR="006E7ECE" w:rsidRDefault="006E7ECE">
      <w:pPr>
        <w:spacing w:line="240" w:lineRule="exact"/>
        <w:jc w:val="center"/>
        <w:rPr>
          <w:rFonts w:ascii="方正小标宋简体" w:eastAsia="方正小标宋简体"/>
          <w:color w:val="000000"/>
          <w:sz w:val="32"/>
          <w:szCs w:val="32"/>
        </w:rPr>
      </w:pPr>
    </w:p>
    <w:p w14:paraId="0BC5E2A3" w14:textId="77777777" w:rsidR="006E7ECE"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419442DC" w14:textId="77777777" w:rsidR="006E7ECE"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6FD5BBE0" w14:textId="77777777" w:rsidR="006E7EC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759564ED" w14:textId="77777777" w:rsidR="006E7EC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7F4DCF4E" w14:textId="77777777" w:rsidR="006E7EC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6716E33D" w14:textId="77777777" w:rsidR="006E7EC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74187765" w14:textId="77777777" w:rsidR="006E7EC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69A94E88" w14:textId="77777777" w:rsidR="006E7ECE"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1F36A687" w14:textId="77777777" w:rsidR="006E7EC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0E9F4AD5" w14:textId="77777777" w:rsidR="006E7EC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1006934A" w14:textId="77777777" w:rsidR="006E7ECE"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674D436A" w14:textId="77777777" w:rsidR="006E7ECE"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1A2028EE" w14:textId="77777777" w:rsidR="006E7ECE"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5ECEE9C2" w14:textId="77777777" w:rsidR="006E7EC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42EA9344" w14:textId="77777777" w:rsidR="006E7EC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3C205EBC" w14:textId="77777777" w:rsidR="006E7ECE"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40DF33A1" w14:textId="77777777" w:rsidR="006E7EC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4DCC7F74" w14:textId="77777777" w:rsidR="006E7EC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3942686C" w14:textId="77777777" w:rsidR="006E7ECE"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43ACC48F" w14:textId="77777777" w:rsidR="006E7ECE"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55FD8D2C" w14:textId="77777777" w:rsidR="006E7EC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6E7ECE">
          <w:footerReference w:type="default" r:id="rId8"/>
          <w:pgSz w:w="11906" w:h="16838"/>
          <w:pgMar w:top="1276"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7B1DA80C" w14:textId="77777777" w:rsidR="006E7ECE" w:rsidRDefault="006E7EC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3BC4D71C" w14:textId="77777777" w:rsidR="006E7ECE"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097D25AA" w14:textId="77777777" w:rsidR="006E7ECE" w:rsidRDefault="006E7ECE">
      <w:pPr>
        <w:spacing w:line="360" w:lineRule="auto"/>
        <w:rPr>
          <w:rFonts w:ascii="仿宋_GB2312" w:eastAsia="仿宋_GB2312"/>
          <w:color w:val="000000"/>
          <w:sz w:val="32"/>
          <w:szCs w:val="32"/>
        </w:rPr>
      </w:pPr>
    </w:p>
    <w:p w14:paraId="211AB217" w14:textId="77777777" w:rsidR="006E7ECE" w:rsidRDefault="00000000">
      <w:pPr>
        <w:pStyle w:val="a7"/>
        <w:numPr>
          <w:ilvl w:val="0"/>
          <w:numId w:val="1"/>
        </w:numPr>
        <w:spacing w:line="560" w:lineRule="exact"/>
        <w:ind w:firstLineChars="0"/>
        <w:rPr>
          <w:rFonts w:ascii="黑体" w:eastAsia="黑体"/>
          <w:color w:val="000000"/>
          <w:sz w:val="32"/>
          <w:szCs w:val="32"/>
        </w:rPr>
      </w:pPr>
      <w:r>
        <w:rPr>
          <w:rFonts w:ascii="黑体" w:eastAsia="黑体" w:hint="eastAsia"/>
          <w:color w:val="000000"/>
          <w:sz w:val="32"/>
          <w:szCs w:val="32"/>
        </w:rPr>
        <w:t>单位情况说明</w:t>
      </w:r>
    </w:p>
    <w:p w14:paraId="182EF333" w14:textId="77777777" w:rsidR="006E7ECE" w:rsidRDefault="00000000">
      <w:pPr>
        <w:pStyle w:val="a7"/>
        <w:numPr>
          <w:ilvl w:val="0"/>
          <w:numId w:val="2"/>
        </w:numPr>
        <w:spacing w:line="560" w:lineRule="exact"/>
        <w:ind w:firstLineChars="0"/>
        <w:rPr>
          <w:rFonts w:ascii="楷体_GB2312" w:eastAsia="楷体_GB2312"/>
          <w:color w:val="000000"/>
          <w:sz w:val="32"/>
          <w:szCs w:val="32"/>
        </w:rPr>
      </w:pPr>
      <w:r>
        <w:rPr>
          <w:rFonts w:ascii="楷体_GB2312" w:eastAsia="楷体_GB2312" w:hint="eastAsia"/>
          <w:color w:val="000000"/>
          <w:sz w:val="32"/>
          <w:szCs w:val="32"/>
        </w:rPr>
        <w:t>本单位性质、职责等情况</w:t>
      </w:r>
    </w:p>
    <w:p w14:paraId="5C34B302" w14:textId="60127FDC" w:rsidR="006E7ECE" w:rsidRDefault="00143548">
      <w:pPr>
        <w:spacing w:line="560" w:lineRule="exact"/>
        <w:ind w:left="142" w:firstLineChars="200" w:firstLine="640"/>
        <w:rPr>
          <w:rFonts w:ascii="仿宋" w:eastAsia="仿宋" w:hAnsi="仿宋"/>
          <w:sz w:val="32"/>
          <w:szCs w:val="32"/>
        </w:rPr>
      </w:pPr>
      <w:r w:rsidRPr="00143548">
        <w:rPr>
          <w:rFonts w:ascii="仿宋" w:eastAsia="仿宋" w:hAnsi="仿宋" w:hint="eastAsia"/>
          <w:sz w:val="32"/>
          <w:szCs w:val="32"/>
        </w:rPr>
        <w:t>北京教育学院</w:t>
      </w:r>
      <w:r>
        <w:rPr>
          <w:rFonts w:ascii="仿宋" w:eastAsia="仿宋" w:hAnsi="仿宋" w:hint="eastAsia"/>
          <w:sz w:val="32"/>
          <w:szCs w:val="32"/>
        </w:rPr>
        <w:t>属于公益二类事业单位，主要承担基础教育、成人教育和职业教育教师及管理干部的本、专科学历教育和进修培训；考核与培训、专业培训、学术交流及相关社会服务。</w:t>
      </w:r>
    </w:p>
    <w:p w14:paraId="6CC43881" w14:textId="77777777" w:rsidR="006E7ECE" w:rsidRDefault="00000000">
      <w:pPr>
        <w:pStyle w:val="a7"/>
        <w:numPr>
          <w:ilvl w:val="0"/>
          <w:numId w:val="2"/>
        </w:numPr>
        <w:spacing w:line="560" w:lineRule="exact"/>
        <w:ind w:left="1843" w:firstLineChars="0"/>
        <w:jc w:val="left"/>
        <w:rPr>
          <w:rFonts w:ascii="楷体_GB2312" w:eastAsia="楷体_GB2312"/>
          <w:color w:val="000000"/>
          <w:sz w:val="32"/>
          <w:szCs w:val="32"/>
        </w:rPr>
      </w:pPr>
      <w:r>
        <w:rPr>
          <w:rFonts w:ascii="楷体_GB2312" w:eastAsia="楷体_GB2312" w:hint="eastAsia"/>
          <w:color w:val="000000"/>
          <w:sz w:val="32"/>
          <w:szCs w:val="32"/>
        </w:rPr>
        <w:t>机构设置情况</w:t>
      </w:r>
    </w:p>
    <w:p w14:paraId="3EB89277" w14:textId="77777777" w:rsidR="006E7ECE" w:rsidRDefault="00000000">
      <w:pPr>
        <w:pStyle w:val="a7"/>
        <w:ind w:firstLine="640"/>
        <w:rPr>
          <w:rFonts w:ascii="仿宋_GB2312" w:eastAsia="仿宋_GB2312"/>
          <w:color w:val="000000"/>
          <w:sz w:val="32"/>
          <w:szCs w:val="32"/>
        </w:rPr>
      </w:pPr>
      <w:r>
        <w:rPr>
          <w:rFonts w:ascii="仿宋_GB2312" w:eastAsia="仿宋_GB2312" w:hint="eastAsia"/>
          <w:color w:val="000000"/>
          <w:sz w:val="32"/>
          <w:szCs w:val="32"/>
        </w:rPr>
        <w:t>北京教育学院设置党群机构、行政机构17个，分别为党政办公室、党委组织部（统战部）、党委教师工作部、党委学员工作部、党委安全稳定工作部、党委巡察工作办公室、纪检监察办公室、工会、互联网信息办公室、人事处、教务处（培训管理办公室）、科研处（学科建设办公室）、国际合作与交流处（港澳台事务办公室）、财务资产处、安保后勤处、审计处、离退休工作处；内设教学科研机构7个，分别为教育管理与心理学院(教育干部学院)、思想政治教育与德育学院、人文与外语教育学院、数学与科学教育学院、体育与艺术教育学院、信息科技与劳动教育学院、学前教育学院；教辅机构2个，分别为合作培训部、学术资源部。</w:t>
      </w:r>
    </w:p>
    <w:p w14:paraId="49D7C4C2" w14:textId="77777777" w:rsidR="006E7ECE" w:rsidRDefault="00000000">
      <w:pPr>
        <w:pStyle w:val="a7"/>
        <w:ind w:firstLine="640"/>
      </w:pPr>
      <w:r>
        <w:rPr>
          <w:rFonts w:ascii="仿宋_GB2312" w:eastAsia="仿宋_GB2312" w:hint="eastAsia"/>
          <w:color w:val="000000"/>
          <w:sz w:val="32"/>
          <w:szCs w:val="32"/>
        </w:rPr>
        <w:t>北京教育学院包括1个预算单位，即北京教育学院（本级）。</w:t>
      </w:r>
    </w:p>
    <w:p w14:paraId="75A42508" w14:textId="77777777" w:rsidR="006E7ECE"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（三）人员编制及实有情况</w:t>
      </w:r>
    </w:p>
    <w:p w14:paraId="352DACF3" w14:textId="5774F31D" w:rsidR="006E7ECE" w:rsidRDefault="00000000">
      <w:pPr>
        <w:spacing w:line="360" w:lineRule="auto"/>
        <w:ind w:firstLine="646"/>
        <w:rPr>
          <w:rFonts w:ascii="仿宋_GB2312" w:eastAsia="仿宋_GB2312"/>
          <w:color w:val="000000"/>
          <w:sz w:val="32"/>
          <w:szCs w:val="32"/>
        </w:rPr>
      </w:pPr>
      <w:r>
        <w:rPr>
          <w:rFonts w:ascii="仿宋_GB2312" w:eastAsia="仿宋_GB2312" w:hint="eastAsia"/>
          <w:color w:val="000000"/>
          <w:sz w:val="32"/>
          <w:szCs w:val="32"/>
        </w:rPr>
        <w:t>北京教育学院</w:t>
      </w:r>
      <w:r w:rsidR="00796B37" w:rsidRPr="00796B37">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w:t>
      </w:r>
      <w:r>
        <w:rPr>
          <w:rFonts w:ascii="仿宋_GB2312" w:eastAsia="仿宋_GB2312"/>
          <w:color w:val="000000"/>
          <w:sz w:val="32"/>
          <w:szCs w:val="32"/>
        </w:rPr>
        <w:t>754</w:t>
      </w:r>
      <w:r>
        <w:rPr>
          <w:rFonts w:ascii="仿宋_GB2312" w:eastAsia="仿宋_GB2312" w:hint="eastAsia"/>
          <w:color w:val="000000"/>
          <w:sz w:val="32"/>
          <w:szCs w:val="32"/>
        </w:rPr>
        <w:t>人，实有人数</w:t>
      </w:r>
      <w:r>
        <w:rPr>
          <w:rFonts w:ascii="仿宋_GB2312" w:eastAsia="仿宋_GB2312"/>
          <w:color w:val="000000"/>
          <w:sz w:val="32"/>
          <w:szCs w:val="32"/>
        </w:rPr>
        <w:t>468</w:t>
      </w:r>
      <w:r>
        <w:rPr>
          <w:rFonts w:ascii="仿宋_GB2312" w:eastAsia="仿宋_GB2312" w:hint="eastAsia"/>
          <w:color w:val="000000"/>
          <w:sz w:val="32"/>
          <w:szCs w:val="32"/>
        </w:rPr>
        <w:t>人；离退休人员62</w:t>
      </w:r>
      <w:r>
        <w:rPr>
          <w:rFonts w:ascii="仿宋_GB2312" w:eastAsia="仿宋_GB2312"/>
          <w:color w:val="000000"/>
          <w:sz w:val="32"/>
          <w:szCs w:val="32"/>
        </w:rPr>
        <w:t>0</w:t>
      </w:r>
      <w:r>
        <w:rPr>
          <w:rFonts w:ascii="仿宋_GB2312" w:eastAsia="仿宋_GB2312" w:hint="eastAsia"/>
          <w:color w:val="000000"/>
          <w:sz w:val="32"/>
          <w:szCs w:val="32"/>
        </w:rPr>
        <w:t>人，其中：离休</w:t>
      </w:r>
      <w:r>
        <w:rPr>
          <w:rFonts w:ascii="仿宋_GB2312" w:eastAsia="仿宋_GB2312"/>
          <w:color w:val="000000"/>
          <w:sz w:val="32"/>
          <w:szCs w:val="32"/>
        </w:rPr>
        <w:t>17</w:t>
      </w:r>
      <w:r>
        <w:rPr>
          <w:rFonts w:ascii="仿宋_GB2312" w:eastAsia="仿宋_GB2312" w:hint="eastAsia"/>
          <w:color w:val="000000"/>
          <w:sz w:val="32"/>
          <w:szCs w:val="32"/>
        </w:rPr>
        <w:t>人，退休6</w:t>
      </w:r>
      <w:r>
        <w:rPr>
          <w:rFonts w:ascii="仿宋_GB2312" w:eastAsia="仿宋_GB2312"/>
          <w:color w:val="000000"/>
          <w:sz w:val="32"/>
          <w:szCs w:val="32"/>
        </w:rPr>
        <w:t>03</w:t>
      </w:r>
      <w:r>
        <w:rPr>
          <w:rFonts w:ascii="仿宋_GB2312" w:eastAsia="仿宋_GB2312" w:hint="eastAsia"/>
          <w:color w:val="000000"/>
          <w:sz w:val="32"/>
          <w:szCs w:val="32"/>
        </w:rPr>
        <w:t>人</w:t>
      </w:r>
      <w:r w:rsidR="00102268">
        <w:rPr>
          <w:rFonts w:ascii="仿宋_GB2312" w:eastAsia="仿宋_GB2312" w:hint="eastAsia"/>
          <w:color w:val="000000"/>
          <w:sz w:val="32"/>
          <w:szCs w:val="32"/>
        </w:rPr>
        <w:t>；</w:t>
      </w:r>
      <w:r>
        <w:rPr>
          <w:rFonts w:ascii="仿宋_GB2312" w:eastAsia="仿宋_GB2312" w:hint="eastAsia"/>
          <w:color w:val="000000"/>
          <w:sz w:val="32"/>
          <w:szCs w:val="32"/>
        </w:rPr>
        <w:t>学生人数</w:t>
      </w:r>
      <w:r>
        <w:rPr>
          <w:rFonts w:ascii="仿宋_GB2312" w:eastAsia="仿宋_GB2312"/>
          <w:color w:val="000000"/>
          <w:sz w:val="32"/>
          <w:szCs w:val="32"/>
        </w:rPr>
        <w:t>13006</w:t>
      </w:r>
      <w:r>
        <w:rPr>
          <w:rFonts w:ascii="仿宋_GB2312" w:eastAsia="仿宋_GB2312" w:hint="eastAsia"/>
          <w:color w:val="000000"/>
          <w:sz w:val="32"/>
          <w:szCs w:val="32"/>
        </w:rPr>
        <w:t>人（成人教育）</w:t>
      </w:r>
      <w:r w:rsidR="000056F2">
        <w:rPr>
          <w:rFonts w:ascii="仿宋_GB2312" w:eastAsia="仿宋_GB2312" w:hint="eastAsia"/>
          <w:color w:val="000000"/>
          <w:sz w:val="32"/>
          <w:szCs w:val="32"/>
        </w:rPr>
        <w:t>；其他人员无</w:t>
      </w:r>
      <w:r>
        <w:rPr>
          <w:rFonts w:ascii="仿宋_GB2312" w:eastAsia="仿宋_GB2312" w:hint="eastAsia"/>
          <w:color w:val="000000"/>
          <w:sz w:val="32"/>
          <w:szCs w:val="32"/>
        </w:rPr>
        <w:t>。</w:t>
      </w:r>
    </w:p>
    <w:p w14:paraId="3450C8A9" w14:textId="77777777" w:rsidR="006E7ECE"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1A2EC1D4"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28885.82</w:t>
      </w:r>
      <w:r>
        <w:rPr>
          <w:rFonts w:ascii="仿宋_GB2312" w:eastAsia="仿宋_GB2312" w:hint="eastAsia"/>
          <w:sz w:val="32"/>
          <w:szCs w:val="32"/>
        </w:rPr>
        <w:t>万元，比2022年年初预算数</w:t>
      </w:r>
      <w:r>
        <w:rPr>
          <w:rFonts w:ascii="仿宋_GB2312" w:eastAsia="仿宋_GB2312"/>
          <w:sz w:val="32"/>
          <w:szCs w:val="32"/>
        </w:rPr>
        <w:t>28592.16</w:t>
      </w:r>
      <w:r>
        <w:rPr>
          <w:rFonts w:ascii="仿宋_GB2312" w:eastAsia="仿宋_GB2312" w:hint="eastAsia"/>
          <w:sz w:val="32"/>
          <w:szCs w:val="32"/>
        </w:rPr>
        <w:t>万元增加</w:t>
      </w:r>
      <w:r>
        <w:rPr>
          <w:rFonts w:ascii="仿宋_GB2312" w:eastAsia="仿宋_GB2312"/>
          <w:sz w:val="32"/>
          <w:szCs w:val="32"/>
        </w:rPr>
        <w:t>293.66</w:t>
      </w:r>
      <w:r>
        <w:rPr>
          <w:rFonts w:ascii="仿宋_GB2312" w:eastAsia="仿宋_GB2312" w:hint="eastAsia"/>
          <w:sz w:val="32"/>
          <w:szCs w:val="32"/>
        </w:rPr>
        <w:t>万元，增长1</w:t>
      </w:r>
      <w:r>
        <w:rPr>
          <w:rFonts w:ascii="仿宋_GB2312" w:eastAsia="仿宋_GB2312"/>
          <w:sz w:val="32"/>
          <w:szCs w:val="32"/>
        </w:rPr>
        <w:t>.03</w:t>
      </w:r>
      <w:r>
        <w:rPr>
          <w:rFonts w:ascii="仿宋_GB2312" w:eastAsia="仿宋_GB2312" w:hint="eastAsia"/>
          <w:sz w:val="32"/>
          <w:szCs w:val="32"/>
        </w:rPr>
        <w:t>%。主要原因是拓展教育事业发展，加大北京市教师、干部培训力度。</w:t>
      </w:r>
    </w:p>
    <w:p w14:paraId="0ECEB1F8"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楷体_GB2312" w:eastAsia="楷体_GB2312"/>
          <w:sz w:val="32"/>
          <w:szCs w:val="32"/>
        </w:rPr>
        <w:t>22844.67</w:t>
      </w:r>
      <w:r>
        <w:rPr>
          <w:rFonts w:ascii="楷体_GB2312" w:eastAsia="楷体_GB2312" w:hint="eastAsia"/>
          <w:sz w:val="32"/>
          <w:szCs w:val="32"/>
        </w:rPr>
        <w:t>万元</w:t>
      </w:r>
    </w:p>
    <w:p w14:paraId="2A8E234E"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1.一般公共预算拨款收入22844.67万元。</w:t>
      </w:r>
    </w:p>
    <w:p w14:paraId="29ED2142"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w:t>
      </w:r>
      <w:r>
        <w:rPr>
          <w:rFonts w:ascii="仿宋_GB2312" w:eastAsia="仿宋_GB2312" w:hint="eastAsia"/>
          <w:sz w:val="32"/>
          <w:szCs w:val="32"/>
        </w:rPr>
        <w:t>万元。</w:t>
      </w:r>
    </w:p>
    <w:p w14:paraId="0921A41E"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w:t>
      </w:r>
      <w:r>
        <w:rPr>
          <w:rFonts w:ascii="仿宋_GB2312" w:eastAsia="仿宋_GB2312" w:hint="eastAsia"/>
          <w:sz w:val="32"/>
          <w:szCs w:val="32"/>
        </w:rPr>
        <w:t>万元。</w:t>
      </w:r>
    </w:p>
    <w:p w14:paraId="6AA1BCC8"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2215.71</w:t>
      </w:r>
      <w:r>
        <w:rPr>
          <w:rFonts w:ascii="楷体_GB2312" w:eastAsia="楷体_GB2312" w:hint="eastAsia"/>
          <w:sz w:val="32"/>
          <w:szCs w:val="32"/>
        </w:rPr>
        <w:t>万元</w:t>
      </w:r>
    </w:p>
    <w:p w14:paraId="59D43319"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152</w:t>
      </w:r>
      <w:r>
        <w:rPr>
          <w:rFonts w:ascii="仿宋_GB2312" w:eastAsia="仿宋_GB2312" w:hint="eastAsia"/>
          <w:sz w:val="32"/>
          <w:szCs w:val="32"/>
        </w:rPr>
        <w:t>万元。</w:t>
      </w:r>
    </w:p>
    <w:p w14:paraId="3CB93C3F"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0</w:t>
      </w:r>
      <w:r>
        <w:rPr>
          <w:rFonts w:ascii="仿宋_GB2312" w:eastAsia="仿宋_GB2312" w:hint="eastAsia"/>
          <w:sz w:val="32"/>
          <w:szCs w:val="32"/>
        </w:rPr>
        <w:t>万元。</w:t>
      </w:r>
    </w:p>
    <w:p w14:paraId="29490186"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w:t>
      </w:r>
      <w:r>
        <w:rPr>
          <w:rFonts w:ascii="仿宋_GB2312" w:eastAsia="仿宋_GB2312" w:hint="eastAsia"/>
          <w:sz w:val="32"/>
          <w:szCs w:val="32"/>
        </w:rPr>
        <w:t>万元。</w:t>
      </w:r>
    </w:p>
    <w:p w14:paraId="70CC33D7"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1</w:t>
      </w:r>
      <w:r>
        <w:rPr>
          <w:rFonts w:ascii="仿宋_GB2312" w:eastAsia="仿宋_GB2312" w:hint="eastAsia"/>
          <w:sz w:val="32"/>
          <w:szCs w:val="32"/>
        </w:rPr>
        <w:t>万元。</w:t>
      </w:r>
    </w:p>
    <w:p w14:paraId="64EDA7DA"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1700.96</w:t>
      </w:r>
      <w:r>
        <w:rPr>
          <w:rFonts w:ascii="仿宋_GB2312" w:eastAsia="仿宋_GB2312" w:hint="eastAsia"/>
          <w:sz w:val="32"/>
          <w:szCs w:val="32"/>
        </w:rPr>
        <w:t>万元。</w:t>
      </w:r>
    </w:p>
    <w:p w14:paraId="0C4D5401"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361.75</w:t>
      </w:r>
      <w:r>
        <w:rPr>
          <w:rFonts w:ascii="仿宋_GB2312" w:eastAsia="仿宋_GB2312" w:hint="eastAsia"/>
          <w:sz w:val="32"/>
          <w:szCs w:val="32"/>
        </w:rPr>
        <w:t>万元。</w:t>
      </w:r>
    </w:p>
    <w:p w14:paraId="0D9C5CDE"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3825.44</w:t>
      </w:r>
      <w:r>
        <w:rPr>
          <w:rFonts w:ascii="楷体_GB2312" w:eastAsia="楷体_GB2312" w:hint="eastAsia"/>
          <w:sz w:val="32"/>
          <w:szCs w:val="32"/>
        </w:rPr>
        <w:t>万元</w:t>
      </w:r>
    </w:p>
    <w:p w14:paraId="42A37475"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10.上年结转结余3825.44万元。</w:t>
      </w:r>
    </w:p>
    <w:p w14:paraId="13B7951B" w14:textId="77777777" w:rsidR="006E7ECE" w:rsidRDefault="00000000">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04DFF62B" w14:textId="77777777" w:rsidR="006E7ECE" w:rsidRDefault="00000000">
      <w:r>
        <w:rPr>
          <w:noProof/>
        </w:rPr>
        <w:drawing>
          <wp:inline distT="0" distB="0" distL="0" distR="0" wp14:anchorId="20926FF9" wp14:editId="2CDE6D56">
            <wp:extent cx="5109845" cy="2743200"/>
            <wp:effectExtent l="0" t="0" r="1460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EF37C6E" w14:textId="77777777" w:rsidR="006E7ECE"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7DF95343" w14:textId="1E8B600D"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28885.82</w:t>
      </w:r>
      <w:r>
        <w:rPr>
          <w:rFonts w:ascii="仿宋_GB2312" w:eastAsia="仿宋_GB2312" w:hint="eastAsia"/>
          <w:sz w:val="32"/>
          <w:szCs w:val="32"/>
        </w:rPr>
        <w:t>万元，比2022年年初预算数</w:t>
      </w:r>
      <w:r>
        <w:rPr>
          <w:rFonts w:ascii="仿宋_GB2312" w:eastAsia="仿宋_GB2312"/>
          <w:sz w:val="32"/>
          <w:szCs w:val="32"/>
        </w:rPr>
        <w:t>28592.16</w:t>
      </w:r>
      <w:r>
        <w:rPr>
          <w:rFonts w:ascii="仿宋_GB2312" w:eastAsia="仿宋_GB2312" w:hint="eastAsia"/>
          <w:sz w:val="32"/>
          <w:szCs w:val="32"/>
        </w:rPr>
        <w:t>万元增加</w:t>
      </w:r>
      <w:r>
        <w:rPr>
          <w:rFonts w:ascii="仿宋_GB2312" w:eastAsia="仿宋_GB2312"/>
          <w:sz w:val="32"/>
          <w:szCs w:val="32"/>
        </w:rPr>
        <w:t>293.66</w:t>
      </w:r>
      <w:r>
        <w:rPr>
          <w:rFonts w:ascii="仿宋_GB2312" w:eastAsia="仿宋_GB2312" w:hint="eastAsia"/>
          <w:sz w:val="32"/>
          <w:szCs w:val="32"/>
        </w:rPr>
        <w:t>万元，增长1</w:t>
      </w:r>
      <w:r>
        <w:rPr>
          <w:rFonts w:ascii="仿宋_GB2312" w:eastAsia="仿宋_GB2312"/>
          <w:sz w:val="32"/>
          <w:szCs w:val="32"/>
        </w:rPr>
        <w:t>.03</w:t>
      </w:r>
      <w:r>
        <w:rPr>
          <w:rFonts w:ascii="仿宋_GB2312" w:eastAsia="仿宋_GB2312" w:hint="eastAsia"/>
          <w:sz w:val="32"/>
          <w:szCs w:val="32"/>
        </w:rPr>
        <w:t>%。主要原因是</w:t>
      </w:r>
      <w:r w:rsidR="00384533">
        <w:rPr>
          <w:rFonts w:ascii="仿宋_GB2312" w:eastAsia="仿宋_GB2312" w:hint="eastAsia"/>
          <w:sz w:val="32"/>
          <w:szCs w:val="32"/>
        </w:rPr>
        <w:t>根据事业发展需要，调整预算安排</w:t>
      </w:r>
      <w:r>
        <w:rPr>
          <w:rFonts w:ascii="仿宋_GB2312" w:eastAsia="仿宋_GB2312" w:hint="eastAsia"/>
          <w:sz w:val="32"/>
          <w:szCs w:val="32"/>
        </w:rPr>
        <w:t>。</w:t>
      </w:r>
    </w:p>
    <w:p w14:paraId="60FC203B" w14:textId="7E83CAE5" w:rsidR="006E7ECE"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28351.96</w:t>
      </w:r>
      <w:r>
        <w:rPr>
          <w:rFonts w:ascii="仿宋_GB2312" w:eastAsia="仿宋_GB2312" w:hint="eastAsia"/>
          <w:sz w:val="32"/>
          <w:szCs w:val="32"/>
        </w:rPr>
        <w:t>万元，占总支出预算</w:t>
      </w:r>
      <w:r>
        <w:rPr>
          <w:rFonts w:ascii="仿宋_GB2312" w:eastAsia="仿宋_GB2312"/>
          <w:sz w:val="32"/>
          <w:szCs w:val="32"/>
        </w:rPr>
        <w:t>98.15</w:t>
      </w:r>
      <w:r>
        <w:rPr>
          <w:rFonts w:ascii="仿宋_GB2312" w:eastAsia="仿宋_GB2312" w:hint="eastAsia"/>
          <w:sz w:val="32"/>
          <w:szCs w:val="32"/>
        </w:rPr>
        <w:t>%，比2022年年初预算数</w:t>
      </w:r>
      <w:r>
        <w:rPr>
          <w:rFonts w:ascii="仿宋_GB2312" w:eastAsia="仿宋_GB2312"/>
          <w:sz w:val="32"/>
          <w:szCs w:val="32"/>
        </w:rPr>
        <w:t>27676.56</w:t>
      </w:r>
      <w:r>
        <w:rPr>
          <w:rFonts w:ascii="仿宋_GB2312" w:eastAsia="仿宋_GB2312" w:hint="eastAsia"/>
          <w:sz w:val="32"/>
          <w:szCs w:val="32"/>
        </w:rPr>
        <w:t>万元增加6</w:t>
      </w:r>
      <w:r>
        <w:rPr>
          <w:rFonts w:ascii="仿宋_GB2312" w:eastAsia="仿宋_GB2312"/>
          <w:sz w:val="32"/>
          <w:szCs w:val="32"/>
        </w:rPr>
        <w:t>75.40</w:t>
      </w:r>
      <w:r>
        <w:rPr>
          <w:rFonts w:ascii="仿宋_GB2312" w:eastAsia="仿宋_GB2312" w:hint="eastAsia"/>
          <w:sz w:val="32"/>
          <w:szCs w:val="32"/>
        </w:rPr>
        <w:t>万元，增长2</w:t>
      </w:r>
      <w:r>
        <w:rPr>
          <w:rFonts w:ascii="仿宋_GB2312" w:eastAsia="仿宋_GB2312"/>
          <w:sz w:val="32"/>
          <w:szCs w:val="32"/>
        </w:rPr>
        <w:t>.44</w:t>
      </w:r>
      <w:r>
        <w:rPr>
          <w:rFonts w:ascii="仿宋_GB2312" w:eastAsia="仿宋_GB2312" w:hint="eastAsia"/>
          <w:sz w:val="32"/>
          <w:szCs w:val="32"/>
        </w:rPr>
        <w:t>%。</w:t>
      </w:r>
    </w:p>
    <w:p w14:paraId="436D710B" w14:textId="77777777" w:rsidR="006E7ECE" w:rsidRDefault="00000000">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533.86</w:t>
      </w:r>
      <w:r>
        <w:rPr>
          <w:rFonts w:ascii="仿宋_GB2312" w:eastAsia="仿宋_GB2312" w:hint="eastAsia"/>
          <w:sz w:val="32"/>
          <w:szCs w:val="32"/>
        </w:rPr>
        <w:t>万元，比2022年年初预算数</w:t>
      </w:r>
      <w:r>
        <w:rPr>
          <w:rFonts w:ascii="仿宋_GB2312" w:eastAsia="仿宋_GB2312"/>
          <w:sz w:val="32"/>
          <w:szCs w:val="32"/>
        </w:rPr>
        <w:t>915.60</w:t>
      </w:r>
      <w:r>
        <w:rPr>
          <w:rFonts w:ascii="仿宋_GB2312" w:eastAsia="仿宋_GB2312" w:hint="eastAsia"/>
          <w:sz w:val="32"/>
          <w:szCs w:val="32"/>
        </w:rPr>
        <w:t>万元减少3</w:t>
      </w:r>
      <w:r>
        <w:rPr>
          <w:rFonts w:ascii="仿宋_GB2312" w:eastAsia="仿宋_GB2312"/>
          <w:sz w:val="32"/>
          <w:szCs w:val="32"/>
        </w:rPr>
        <w:t>81.74</w:t>
      </w:r>
      <w:r>
        <w:rPr>
          <w:rFonts w:ascii="仿宋_GB2312" w:eastAsia="仿宋_GB2312" w:hint="eastAsia"/>
          <w:sz w:val="32"/>
          <w:szCs w:val="32"/>
        </w:rPr>
        <w:t>万元，下降4</w:t>
      </w:r>
      <w:r>
        <w:rPr>
          <w:rFonts w:ascii="仿宋_GB2312" w:eastAsia="仿宋_GB2312"/>
          <w:sz w:val="32"/>
          <w:szCs w:val="32"/>
        </w:rPr>
        <w:t>1.69</w:t>
      </w:r>
      <w:r>
        <w:rPr>
          <w:rFonts w:ascii="仿宋_GB2312" w:eastAsia="仿宋_GB2312" w:hint="eastAsia"/>
          <w:sz w:val="32"/>
          <w:szCs w:val="32"/>
        </w:rPr>
        <w:t>%。其中：</w:t>
      </w:r>
    </w:p>
    <w:p w14:paraId="58968544" w14:textId="77777777" w:rsidR="006E7ECE"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0</w:t>
      </w:r>
      <w:r>
        <w:rPr>
          <w:rFonts w:ascii="仿宋_GB2312" w:eastAsia="仿宋_GB2312" w:hint="eastAsia"/>
          <w:sz w:val="32"/>
          <w:szCs w:val="32"/>
        </w:rPr>
        <w:t>万元。</w:t>
      </w:r>
    </w:p>
    <w:p w14:paraId="21836C7A" w14:textId="77777777" w:rsidR="006E7ECE"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w:t>
      </w:r>
      <w:r>
        <w:rPr>
          <w:rFonts w:ascii="仿宋_GB2312" w:eastAsia="仿宋_GB2312" w:hint="eastAsia"/>
          <w:sz w:val="32"/>
          <w:szCs w:val="32"/>
        </w:rPr>
        <w:t>万元。</w:t>
      </w:r>
    </w:p>
    <w:p w14:paraId="49E557F1" w14:textId="77777777" w:rsidR="006E7ECE"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Pr>
          <w:rFonts w:ascii="仿宋_GB2312" w:eastAsia="仿宋_GB2312"/>
          <w:sz w:val="32"/>
          <w:szCs w:val="32"/>
        </w:rPr>
        <w:t>0</w:t>
      </w:r>
      <w:r>
        <w:rPr>
          <w:rFonts w:ascii="仿宋_GB2312" w:eastAsia="仿宋_GB2312" w:hint="eastAsia"/>
          <w:sz w:val="32"/>
          <w:szCs w:val="32"/>
        </w:rPr>
        <w:t>万元。</w:t>
      </w:r>
    </w:p>
    <w:p w14:paraId="7E6B874C" w14:textId="77777777" w:rsidR="006E7ECE" w:rsidRDefault="00000000">
      <w:pPr>
        <w:pStyle w:val="2"/>
        <w:ind w:firstLine="642"/>
        <w:jc w:val="center"/>
        <w:rPr>
          <w:rFonts w:ascii="仿宋_GB2312" w:eastAsia="仿宋_GB2312"/>
          <w:sz w:val="32"/>
        </w:rPr>
      </w:pPr>
      <w:r>
        <w:rPr>
          <w:rFonts w:ascii="仿宋_GB2312" w:eastAsia="仿宋_GB2312" w:hint="eastAsia"/>
          <w:sz w:val="32"/>
        </w:rPr>
        <w:lastRenderedPageBreak/>
        <w:t>图2：基本支出和项目支出情况</w:t>
      </w:r>
    </w:p>
    <w:p w14:paraId="7E326B23" w14:textId="77777777" w:rsidR="006E7ECE" w:rsidRDefault="00000000">
      <w:pPr>
        <w:pStyle w:val="2"/>
        <w:jc w:val="center"/>
      </w:pPr>
      <w:r>
        <w:rPr>
          <w:noProof/>
        </w:rPr>
        <w:drawing>
          <wp:inline distT="0" distB="0" distL="0" distR="0" wp14:anchorId="6C1559D3" wp14:editId="0A23EED7">
            <wp:extent cx="4572000" cy="3028950"/>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F4519B8" w14:textId="77777777" w:rsidR="006E7ECE"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48F8995C"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04203F75"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北京教育学院因公出国（境）费用、公务接待费、公务用车购置和运行维护费开支单位包括北京教育学院1个所属单位。其他所属单位2023年无财政拨款安排的“三公”经费预算。</w:t>
      </w:r>
    </w:p>
    <w:p w14:paraId="642F2798" w14:textId="77777777" w:rsidR="006E7ECE"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000EE5FD"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Pr>
          <w:rFonts w:ascii="仿宋_GB2312" w:eastAsia="仿宋_GB2312"/>
          <w:sz w:val="32"/>
          <w:szCs w:val="32"/>
        </w:rPr>
        <w:t>85.30</w:t>
      </w:r>
      <w:r>
        <w:rPr>
          <w:rFonts w:ascii="仿宋_GB2312" w:eastAsia="仿宋_GB2312" w:hint="eastAsia"/>
          <w:sz w:val="32"/>
          <w:szCs w:val="32"/>
        </w:rPr>
        <w:t>万元，比2022年财政拨款“三公”经费预算增加7</w:t>
      </w:r>
      <w:r>
        <w:rPr>
          <w:rFonts w:ascii="仿宋_GB2312" w:eastAsia="仿宋_GB2312"/>
          <w:sz w:val="32"/>
          <w:szCs w:val="32"/>
        </w:rPr>
        <w:t>.95</w:t>
      </w:r>
      <w:r>
        <w:rPr>
          <w:rFonts w:ascii="仿宋_GB2312" w:eastAsia="仿宋_GB2312" w:hint="eastAsia"/>
          <w:sz w:val="32"/>
          <w:szCs w:val="32"/>
        </w:rPr>
        <w:t>万元。其中：</w:t>
      </w:r>
    </w:p>
    <w:p w14:paraId="5699C060" w14:textId="113913EA"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Pr>
          <w:rFonts w:ascii="仿宋_GB2312" w:eastAsia="仿宋_GB2312"/>
          <w:sz w:val="32"/>
          <w:szCs w:val="32"/>
        </w:rPr>
        <w:t>61.33</w:t>
      </w:r>
      <w:r>
        <w:rPr>
          <w:rFonts w:ascii="仿宋_GB2312" w:eastAsia="仿宋_GB2312" w:hint="eastAsia"/>
          <w:sz w:val="32"/>
          <w:szCs w:val="32"/>
        </w:rPr>
        <w:t>万元，比2022年年初预算数</w:t>
      </w:r>
      <w:r>
        <w:rPr>
          <w:rFonts w:ascii="仿宋_GB2312" w:eastAsia="仿宋_GB2312"/>
          <w:sz w:val="32"/>
          <w:szCs w:val="32"/>
        </w:rPr>
        <w:t>54.85</w:t>
      </w:r>
      <w:r>
        <w:rPr>
          <w:rFonts w:ascii="仿宋_GB2312" w:eastAsia="仿宋_GB2312" w:hint="eastAsia"/>
          <w:sz w:val="32"/>
          <w:szCs w:val="32"/>
        </w:rPr>
        <w:t>万元增加6</w:t>
      </w:r>
      <w:r>
        <w:rPr>
          <w:rFonts w:ascii="仿宋_GB2312" w:eastAsia="仿宋_GB2312"/>
          <w:sz w:val="32"/>
          <w:szCs w:val="32"/>
        </w:rPr>
        <w:t>.48</w:t>
      </w:r>
      <w:r>
        <w:rPr>
          <w:rFonts w:ascii="仿宋_GB2312" w:eastAsia="仿宋_GB2312" w:hint="eastAsia"/>
          <w:sz w:val="32"/>
          <w:szCs w:val="32"/>
        </w:rPr>
        <w:t>万元，主要原因</w:t>
      </w:r>
      <w:r w:rsidR="0055222F">
        <w:rPr>
          <w:rFonts w:ascii="仿宋_GB2312" w:eastAsia="仿宋_GB2312" w:hint="eastAsia"/>
          <w:sz w:val="32"/>
          <w:szCs w:val="32"/>
        </w:rPr>
        <w:t>是根据事业发展需要，</w:t>
      </w:r>
      <w:r>
        <w:rPr>
          <w:rFonts w:ascii="仿宋_GB2312" w:eastAsia="仿宋_GB2312" w:hint="eastAsia"/>
          <w:sz w:val="32"/>
          <w:szCs w:val="32"/>
        </w:rPr>
        <w:t>拓展对外合作交流。</w:t>
      </w:r>
    </w:p>
    <w:p w14:paraId="6375F5D2"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Pr>
          <w:rFonts w:ascii="仿宋_GB2312" w:eastAsia="仿宋_GB2312"/>
          <w:sz w:val="32"/>
          <w:szCs w:val="32"/>
        </w:rPr>
        <w:t>0</w:t>
      </w:r>
      <w:r>
        <w:rPr>
          <w:rFonts w:ascii="仿宋_GB2312" w:eastAsia="仿宋_GB2312" w:hint="eastAsia"/>
          <w:sz w:val="32"/>
          <w:szCs w:val="32"/>
        </w:rPr>
        <w:t>万元，与2</w:t>
      </w:r>
      <w:r>
        <w:rPr>
          <w:rFonts w:ascii="仿宋_GB2312" w:eastAsia="仿宋_GB2312"/>
          <w:sz w:val="32"/>
          <w:szCs w:val="32"/>
        </w:rPr>
        <w:t>022</w:t>
      </w:r>
      <w:r>
        <w:rPr>
          <w:rFonts w:ascii="仿宋_GB2312" w:eastAsia="仿宋_GB2312" w:hint="eastAsia"/>
          <w:sz w:val="32"/>
          <w:szCs w:val="32"/>
        </w:rPr>
        <w:t>年持平。</w:t>
      </w:r>
    </w:p>
    <w:p w14:paraId="3F6463B0"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3.公务用车购置和运行维护费。2023年预算数</w:t>
      </w:r>
      <w:r>
        <w:rPr>
          <w:rFonts w:ascii="仿宋_GB2312" w:eastAsia="仿宋_GB2312"/>
          <w:sz w:val="32"/>
          <w:szCs w:val="32"/>
        </w:rPr>
        <w:t>23.98</w:t>
      </w:r>
      <w:r>
        <w:rPr>
          <w:rFonts w:ascii="仿宋_GB2312" w:eastAsia="仿宋_GB2312" w:hint="eastAsia"/>
          <w:sz w:val="32"/>
          <w:szCs w:val="32"/>
        </w:rPr>
        <w:t>万元，其中，公务用车购置费2023年预算数</w:t>
      </w:r>
      <w:r>
        <w:rPr>
          <w:rFonts w:ascii="仿宋_GB2312" w:eastAsia="仿宋_GB2312"/>
          <w:sz w:val="32"/>
          <w:szCs w:val="32"/>
        </w:rPr>
        <w:t>0</w:t>
      </w:r>
      <w:r>
        <w:rPr>
          <w:rFonts w:ascii="仿宋_GB2312" w:eastAsia="仿宋_GB2312" w:hint="eastAsia"/>
          <w:sz w:val="32"/>
          <w:szCs w:val="32"/>
        </w:rPr>
        <w:t>万元，与2</w:t>
      </w:r>
      <w:r>
        <w:rPr>
          <w:rFonts w:ascii="仿宋_GB2312" w:eastAsia="仿宋_GB2312"/>
          <w:sz w:val="32"/>
          <w:szCs w:val="32"/>
        </w:rPr>
        <w:t>022</w:t>
      </w:r>
      <w:r>
        <w:rPr>
          <w:rFonts w:ascii="仿宋_GB2312" w:eastAsia="仿宋_GB2312" w:hint="eastAsia"/>
          <w:sz w:val="32"/>
          <w:szCs w:val="32"/>
        </w:rPr>
        <w:t>年持平；公务用车运行维护费2023年预算数</w:t>
      </w:r>
      <w:r>
        <w:rPr>
          <w:rFonts w:ascii="仿宋_GB2312" w:eastAsia="仿宋_GB2312"/>
          <w:sz w:val="32"/>
          <w:szCs w:val="32"/>
        </w:rPr>
        <w:t>23.98</w:t>
      </w:r>
      <w:r>
        <w:rPr>
          <w:rFonts w:ascii="仿宋_GB2312" w:eastAsia="仿宋_GB2312" w:hint="eastAsia"/>
          <w:sz w:val="32"/>
          <w:szCs w:val="32"/>
        </w:rPr>
        <w:t>万元，其中：公务用车燃油</w:t>
      </w:r>
      <w:r>
        <w:rPr>
          <w:rFonts w:ascii="仿宋_GB2312" w:eastAsia="仿宋_GB2312"/>
          <w:sz w:val="32"/>
          <w:szCs w:val="32"/>
        </w:rPr>
        <w:t>12.23</w:t>
      </w:r>
      <w:r>
        <w:rPr>
          <w:rFonts w:ascii="仿宋_GB2312" w:eastAsia="仿宋_GB2312" w:hint="eastAsia"/>
          <w:sz w:val="32"/>
          <w:szCs w:val="32"/>
        </w:rPr>
        <w:t>万元，公务用车维修</w:t>
      </w:r>
      <w:r>
        <w:rPr>
          <w:rFonts w:ascii="仿宋_GB2312" w:eastAsia="仿宋_GB2312"/>
          <w:sz w:val="32"/>
          <w:szCs w:val="32"/>
        </w:rPr>
        <w:t>4.25</w:t>
      </w:r>
      <w:r>
        <w:rPr>
          <w:rFonts w:ascii="仿宋_GB2312" w:eastAsia="仿宋_GB2312" w:hint="eastAsia"/>
          <w:sz w:val="32"/>
          <w:szCs w:val="32"/>
        </w:rPr>
        <w:t>万元，公务用车保险</w:t>
      </w:r>
      <w:r>
        <w:rPr>
          <w:rFonts w:ascii="仿宋_GB2312" w:eastAsia="仿宋_GB2312"/>
          <w:sz w:val="32"/>
          <w:szCs w:val="32"/>
        </w:rPr>
        <w:t>4.25</w:t>
      </w:r>
      <w:r>
        <w:rPr>
          <w:rFonts w:ascii="仿宋_GB2312" w:eastAsia="仿宋_GB2312" w:hint="eastAsia"/>
          <w:sz w:val="32"/>
          <w:szCs w:val="32"/>
        </w:rPr>
        <w:t>万元，其他支出</w:t>
      </w:r>
      <w:r>
        <w:rPr>
          <w:rFonts w:ascii="仿宋_GB2312" w:eastAsia="仿宋_GB2312"/>
          <w:sz w:val="32"/>
          <w:szCs w:val="32"/>
        </w:rPr>
        <w:t>3.25</w:t>
      </w:r>
      <w:r>
        <w:rPr>
          <w:rFonts w:ascii="仿宋_GB2312" w:eastAsia="仿宋_GB2312" w:hint="eastAsia"/>
          <w:sz w:val="32"/>
          <w:szCs w:val="32"/>
        </w:rPr>
        <w:t>万元。公务用车运行维护费2023年预算数比2022年年初预算数</w:t>
      </w:r>
      <w:r>
        <w:rPr>
          <w:rFonts w:ascii="仿宋_GB2312" w:eastAsia="仿宋_GB2312"/>
          <w:sz w:val="32"/>
          <w:szCs w:val="32"/>
        </w:rPr>
        <w:t>22.5</w:t>
      </w:r>
      <w:r>
        <w:rPr>
          <w:rFonts w:ascii="仿宋_GB2312" w:eastAsia="仿宋_GB2312" w:hint="eastAsia"/>
          <w:sz w:val="32"/>
          <w:szCs w:val="32"/>
        </w:rPr>
        <w:t>万元增加1</w:t>
      </w:r>
      <w:r>
        <w:rPr>
          <w:rFonts w:ascii="仿宋_GB2312" w:eastAsia="仿宋_GB2312"/>
          <w:sz w:val="32"/>
          <w:szCs w:val="32"/>
        </w:rPr>
        <w:t>.48</w:t>
      </w:r>
      <w:r>
        <w:rPr>
          <w:rFonts w:ascii="仿宋_GB2312" w:eastAsia="仿宋_GB2312" w:hint="eastAsia"/>
          <w:sz w:val="32"/>
          <w:szCs w:val="32"/>
        </w:rPr>
        <w:t>万元。主要原因：根据车辆运行情况，部分车辆老旧，运行维护费有所增加。</w:t>
      </w:r>
    </w:p>
    <w:p w14:paraId="09512E15" w14:textId="77777777" w:rsidR="006E7ECE"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0A6198A0"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5D28E00E"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2023年北京教育学院政府采购预算总额</w:t>
      </w:r>
      <w:r>
        <w:rPr>
          <w:rFonts w:ascii="仿宋_GB2312" w:eastAsia="仿宋_GB2312"/>
          <w:sz w:val="32"/>
          <w:szCs w:val="32"/>
        </w:rPr>
        <w:t>2647.61</w:t>
      </w:r>
      <w:r>
        <w:rPr>
          <w:rFonts w:ascii="仿宋_GB2312" w:eastAsia="仿宋_GB2312" w:hint="eastAsia"/>
          <w:sz w:val="32"/>
          <w:szCs w:val="32"/>
        </w:rPr>
        <w:t>万元，其中：政府采购货物预算</w:t>
      </w:r>
      <w:r>
        <w:rPr>
          <w:rFonts w:ascii="仿宋_GB2312" w:eastAsia="仿宋_GB2312"/>
          <w:sz w:val="32"/>
          <w:szCs w:val="32"/>
        </w:rPr>
        <w:t>100.90</w:t>
      </w:r>
      <w:r>
        <w:rPr>
          <w:rFonts w:ascii="仿宋_GB2312" w:eastAsia="仿宋_GB2312" w:hint="eastAsia"/>
          <w:sz w:val="32"/>
          <w:szCs w:val="32"/>
        </w:rPr>
        <w:t>万元，政府采购工程预算</w:t>
      </w:r>
      <w:r>
        <w:rPr>
          <w:rFonts w:ascii="仿宋_GB2312" w:eastAsia="仿宋_GB2312"/>
          <w:sz w:val="32"/>
          <w:szCs w:val="32"/>
        </w:rPr>
        <w:t>263.78</w:t>
      </w:r>
      <w:r>
        <w:rPr>
          <w:rFonts w:ascii="仿宋_GB2312" w:eastAsia="仿宋_GB2312" w:hint="eastAsia"/>
          <w:sz w:val="32"/>
          <w:szCs w:val="32"/>
        </w:rPr>
        <w:t>万元，政府采购服务预算</w:t>
      </w:r>
      <w:r>
        <w:rPr>
          <w:rFonts w:ascii="仿宋_GB2312" w:eastAsia="仿宋_GB2312"/>
          <w:sz w:val="32"/>
          <w:szCs w:val="32"/>
        </w:rPr>
        <w:t>2282.93</w:t>
      </w:r>
      <w:r>
        <w:rPr>
          <w:rFonts w:ascii="仿宋_GB2312" w:eastAsia="仿宋_GB2312" w:hint="eastAsia"/>
          <w:sz w:val="32"/>
          <w:szCs w:val="32"/>
        </w:rPr>
        <w:t>万元。</w:t>
      </w:r>
    </w:p>
    <w:p w14:paraId="04286031"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1BFEE8E2"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2023年北京教育学院政府购买服务预算总额</w:t>
      </w:r>
      <w:r>
        <w:rPr>
          <w:rFonts w:ascii="仿宋_GB2312" w:eastAsia="仿宋_GB2312"/>
          <w:sz w:val="32"/>
          <w:szCs w:val="32"/>
        </w:rPr>
        <w:t>0</w:t>
      </w:r>
      <w:r>
        <w:rPr>
          <w:rFonts w:ascii="仿宋_GB2312" w:eastAsia="仿宋_GB2312" w:hint="eastAsia"/>
          <w:sz w:val="32"/>
          <w:szCs w:val="32"/>
        </w:rPr>
        <w:t>万元。</w:t>
      </w:r>
    </w:p>
    <w:p w14:paraId="1D38D89B"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28DA761F" w14:textId="77777777" w:rsidR="006E7EC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5FF2457F"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6C6108DA" w14:textId="77777777" w:rsidR="006E7EC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2023年，北京教育学院填报绩效目标的预算项目</w:t>
      </w:r>
      <w:r>
        <w:rPr>
          <w:rFonts w:ascii="仿宋_GB2312" w:eastAsia="仿宋_GB2312"/>
          <w:sz w:val="32"/>
          <w:szCs w:val="32"/>
        </w:rPr>
        <w:t>5</w:t>
      </w:r>
      <w:r>
        <w:rPr>
          <w:rFonts w:ascii="仿宋_GB2312" w:eastAsia="仿宋_GB2312" w:hint="eastAsia"/>
          <w:sz w:val="32"/>
          <w:szCs w:val="32"/>
        </w:rPr>
        <w:t>个，占本单位本年预算项目</w:t>
      </w:r>
      <w:r>
        <w:rPr>
          <w:rFonts w:ascii="仿宋_GB2312" w:eastAsia="仿宋_GB2312"/>
          <w:sz w:val="32"/>
          <w:szCs w:val="32"/>
        </w:rPr>
        <w:t>5</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533.86</w:t>
      </w:r>
      <w:r>
        <w:rPr>
          <w:rFonts w:ascii="仿宋_GB2312" w:eastAsia="仿宋_GB2312" w:hint="eastAsia"/>
          <w:sz w:val="32"/>
          <w:szCs w:val="32"/>
        </w:rPr>
        <w:t>万元，占本单位本年项目支出预算的</w:t>
      </w:r>
      <w:r>
        <w:rPr>
          <w:rFonts w:ascii="仿宋_GB2312" w:eastAsia="仿宋_GB2312"/>
          <w:sz w:val="32"/>
          <w:szCs w:val="32"/>
        </w:rPr>
        <w:t>100</w:t>
      </w:r>
      <w:r>
        <w:rPr>
          <w:rFonts w:ascii="仿宋_GB2312" w:eastAsia="仿宋_GB2312" w:hint="eastAsia"/>
          <w:sz w:val="32"/>
          <w:szCs w:val="32"/>
        </w:rPr>
        <w:t>%。</w:t>
      </w:r>
    </w:p>
    <w:p w14:paraId="619D8CBA"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742CAD62" w14:textId="77777777" w:rsidR="006E7EC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w:t>
      </w:r>
      <w:r>
        <w:rPr>
          <w:rFonts w:ascii="仿宋_GB2312" w:eastAsia="仿宋_GB2312"/>
          <w:color w:val="000000"/>
          <w:sz w:val="32"/>
          <w:szCs w:val="32"/>
        </w:rPr>
        <w:t>3</w:t>
      </w:r>
      <w:r>
        <w:rPr>
          <w:rFonts w:ascii="仿宋_GB2312" w:eastAsia="仿宋_GB2312" w:hint="eastAsia"/>
          <w:color w:val="000000"/>
          <w:sz w:val="32"/>
          <w:szCs w:val="32"/>
        </w:rPr>
        <w:t>年无重点行政事业性收费。</w:t>
      </w:r>
    </w:p>
    <w:p w14:paraId="7104856E" w14:textId="77777777" w:rsidR="006E7EC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557FBE7A" w14:textId="77777777" w:rsidR="006E7EC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lastRenderedPageBreak/>
        <w:t>本单位2023</w:t>
      </w:r>
      <w:r>
        <w:rPr>
          <w:rFonts w:ascii="仿宋_GB2312" w:eastAsia="仿宋_GB2312" w:hint="eastAsia"/>
          <w:color w:val="000000"/>
          <w:sz w:val="32"/>
          <w:szCs w:val="32"/>
        </w:rPr>
        <w:t>年无国有资本经营预算财政拨款安排的预算。</w:t>
      </w:r>
    </w:p>
    <w:p w14:paraId="20BB2F5B" w14:textId="77777777" w:rsidR="006E7ECE"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48147227" w14:textId="77777777" w:rsidR="006E7EC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截至2022年底，北京教育学院共有车辆</w:t>
      </w:r>
      <w:r>
        <w:rPr>
          <w:rFonts w:ascii="仿宋_GB2312" w:eastAsia="仿宋_GB2312"/>
          <w:color w:val="000000"/>
          <w:sz w:val="32"/>
          <w:szCs w:val="32"/>
        </w:rPr>
        <w:t>10</w:t>
      </w:r>
      <w:r>
        <w:rPr>
          <w:rFonts w:ascii="仿宋_GB2312" w:eastAsia="仿宋_GB2312" w:hint="eastAsia"/>
          <w:color w:val="000000"/>
          <w:sz w:val="32"/>
          <w:szCs w:val="32"/>
        </w:rPr>
        <w:t>台，共</w:t>
      </w:r>
      <w:r>
        <w:rPr>
          <w:rFonts w:ascii="仿宋_GB2312" w:eastAsia="仿宋_GB2312"/>
          <w:color w:val="000000"/>
          <w:sz w:val="32"/>
          <w:szCs w:val="32"/>
        </w:rPr>
        <w:t>288.15</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5</w:t>
      </w:r>
      <w:r>
        <w:rPr>
          <w:rFonts w:ascii="仿宋_GB2312" w:eastAsia="仿宋_GB2312" w:hint="eastAsia"/>
          <w:color w:val="000000"/>
          <w:sz w:val="32"/>
          <w:szCs w:val="32"/>
        </w:rPr>
        <w:t>台（套），共计</w:t>
      </w:r>
      <w:r>
        <w:rPr>
          <w:rFonts w:ascii="仿宋_GB2312" w:eastAsia="仿宋_GB2312"/>
          <w:color w:val="000000"/>
          <w:sz w:val="32"/>
          <w:szCs w:val="32"/>
        </w:rPr>
        <w:t>525.89</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1</w:t>
      </w:r>
      <w:r>
        <w:rPr>
          <w:rFonts w:ascii="仿宋_GB2312" w:eastAsia="仿宋_GB2312" w:hint="eastAsia"/>
          <w:color w:val="000000"/>
          <w:sz w:val="32"/>
          <w:szCs w:val="32"/>
        </w:rPr>
        <w:t>台（套）、共计</w:t>
      </w:r>
      <w:r>
        <w:rPr>
          <w:rFonts w:ascii="仿宋_GB2312" w:eastAsia="仿宋_GB2312"/>
          <w:color w:val="000000"/>
          <w:sz w:val="32"/>
          <w:szCs w:val="32"/>
        </w:rPr>
        <w:t>173.64</w:t>
      </w:r>
      <w:r>
        <w:rPr>
          <w:rFonts w:ascii="仿宋_GB2312" w:eastAsia="仿宋_GB2312" w:hint="eastAsia"/>
          <w:color w:val="000000"/>
          <w:sz w:val="32"/>
          <w:szCs w:val="32"/>
        </w:rPr>
        <w:t>万元。</w:t>
      </w:r>
    </w:p>
    <w:p w14:paraId="536C0F91" w14:textId="77777777" w:rsidR="006E7ECE" w:rsidRDefault="00000000">
      <w:pPr>
        <w:spacing w:line="560" w:lineRule="exact"/>
        <w:ind w:firstLineChars="200" w:firstLine="640"/>
        <w:rPr>
          <w:rFonts w:ascii="楷体_GB2312" w:eastAsia="楷体_GB2312"/>
          <w:color w:val="000000"/>
          <w:sz w:val="32"/>
          <w:szCs w:val="32"/>
        </w:rPr>
      </w:pPr>
      <w:r>
        <w:rPr>
          <w:rFonts w:ascii="黑体" w:eastAsia="黑体" w:hint="eastAsia"/>
          <w:color w:val="000000"/>
          <w:sz w:val="32"/>
          <w:szCs w:val="32"/>
        </w:rPr>
        <w:t>六、名词解释</w:t>
      </w:r>
    </w:p>
    <w:p w14:paraId="739E1FDD" w14:textId="77777777" w:rsidR="006E7EC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755560D" w14:textId="77777777" w:rsidR="006E7EC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1FD332F3" w14:textId="77777777" w:rsidR="006E7EC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71C17B6E" w14:textId="77777777" w:rsidR="00335EE6" w:rsidRDefault="00335EE6">
      <w:pPr>
        <w:spacing w:line="560" w:lineRule="exact"/>
        <w:jc w:val="center"/>
        <w:rPr>
          <w:rFonts w:ascii="方正小标宋简体" w:eastAsia="方正小标宋简体"/>
          <w:color w:val="000000"/>
          <w:sz w:val="36"/>
          <w:szCs w:val="36"/>
        </w:rPr>
        <w:sectPr w:rsidR="00335EE6">
          <w:pgSz w:w="11906" w:h="16838"/>
          <w:pgMar w:top="1440" w:right="1800" w:bottom="1440" w:left="1800" w:header="851" w:footer="992" w:gutter="0"/>
          <w:cols w:space="425"/>
          <w:docGrid w:type="lines" w:linePitch="312"/>
        </w:sectPr>
      </w:pPr>
    </w:p>
    <w:p w14:paraId="09EF1522" w14:textId="77777777" w:rsidR="006E7ECE"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340A6586" w14:textId="77777777" w:rsidR="006E7ECE" w:rsidRDefault="006E7ECE">
      <w:pPr>
        <w:autoSpaceDE w:val="0"/>
        <w:autoSpaceDN w:val="0"/>
        <w:adjustRightInd w:val="0"/>
        <w:spacing w:line="560" w:lineRule="exact"/>
        <w:jc w:val="left"/>
        <w:rPr>
          <w:rFonts w:ascii="方正小标宋简体" w:eastAsia="方正小标宋简体"/>
          <w:color w:val="000000"/>
          <w:sz w:val="36"/>
          <w:szCs w:val="36"/>
        </w:rPr>
      </w:pPr>
    </w:p>
    <w:p w14:paraId="0DE58F4D" w14:textId="77777777" w:rsidR="006E7EC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附件：北京教育学院2023年度单位预算报表</w:t>
      </w:r>
      <w:r>
        <w:rPr>
          <w:rFonts w:ascii="仿宋_GB2312" w:eastAsia="仿宋_GB2312" w:cs="宋体" w:hint="eastAsia"/>
          <w:color w:val="000000"/>
          <w:kern w:val="0"/>
          <w:sz w:val="32"/>
          <w:szCs w:val="32"/>
          <w:lang w:val="zh-CN"/>
        </w:rPr>
        <w:t xml:space="preserve"> </w:t>
      </w:r>
    </w:p>
    <w:p w14:paraId="3AB72EFD" w14:textId="77777777" w:rsidR="006E7ECE" w:rsidRDefault="006E7ECE"/>
    <w:sectPr w:rsidR="006E7E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82AE6" w14:textId="77777777" w:rsidR="00DD7C7C" w:rsidRDefault="00DD7C7C">
      <w:r>
        <w:separator/>
      </w:r>
    </w:p>
  </w:endnote>
  <w:endnote w:type="continuationSeparator" w:id="0">
    <w:p w14:paraId="06FB33F0" w14:textId="77777777" w:rsidR="00DD7C7C" w:rsidRDefault="00DD7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024643C2-7790-46B7-B748-3897597382BB}"/>
  </w:font>
  <w:font w:name="方正小标宋简体">
    <w:panose1 w:val="03000509000000000000"/>
    <w:charset w:val="86"/>
    <w:family w:val="script"/>
    <w:pitch w:val="fixed"/>
    <w:sig w:usb0="00000001" w:usb1="080E0000" w:usb2="00000010" w:usb3="00000000" w:csb0="00040000" w:csb1="00000000"/>
    <w:embedRegular r:id="rId2" w:subsetted="1" w:fontKey="{B13F7DBF-3CEE-4AB1-9857-2A09631B8B6F}"/>
  </w:font>
  <w:font w:name="仿宋_GB2312">
    <w:altName w:val="仿宋"/>
    <w:panose1 w:val="02010609030101010101"/>
    <w:charset w:val="86"/>
    <w:family w:val="modern"/>
    <w:pitch w:val="fixed"/>
    <w:sig w:usb0="00000001" w:usb1="080E0000" w:usb2="00000010" w:usb3="00000000" w:csb0="00040000" w:csb1="00000000"/>
    <w:embedRegular r:id="rId3" w:subsetted="1" w:fontKey="{71E2ED05-F6B4-4A2E-A559-436D134E3AE2}"/>
    <w:embedBold r:id="rId4" w:subsetted="1" w:fontKey="{621A0E49-213B-4B7B-9213-361594CD9470}"/>
  </w:font>
  <w:font w:name="楷体_GB2312">
    <w:altName w:val="楷体"/>
    <w:panose1 w:val="02010609030101010101"/>
    <w:charset w:val="86"/>
    <w:family w:val="modern"/>
    <w:pitch w:val="fixed"/>
    <w:sig w:usb0="00000001" w:usb1="080E0000" w:usb2="00000010" w:usb3="00000000" w:csb0="00040000" w:csb1="00000000"/>
    <w:embedRegular r:id="rId5" w:subsetted="1" w:fontKey="{93ACA475-64DE-4A72-881A-EE9C5E7BBCE2}"/>
  </w:font>
  <w:font w:name="仿宋">
    <w:panose1 w:val="02010609060101010101"/>
    <w:charset w:val="86"/>
    <w:family w:val="modern"/>
    <w:pitch w:val="fixed"/>
    <w:sig w:usb0="800002BF" w:usb1="38CF7CFA" w:usb2="00000016" w:usb3="00000000" w:csb0="00040001" w:csb1="00000000"/>
    <w:embedRegular r:id="rId6" w:subsetted="1" w:fontKey="{63D4BC90-A7BE-4F5E-9901-30B29E4B0D6B}"/>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8EAC2" w14:textId="77777777" w:rsidR="006E7ECE"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6E4C42A5" wp14:editId="7EA5AA2D">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347E7277" w14:textId="77777777" w:rsidR="006E7ECE"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6E4C42A5"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347E7277" w14:textId="77777777" w:rsidR="006E7ECE"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w10:wrap anchorx="margin"/>
            </v:shape>
          </w:pict>
        </mc:Fallback>
      </mc:AlternateContent>
    </w:r>
  </w:p>
  <w:p w14:paraId="3A72E540" w14:textId="77777777" w:rsidR="006E7ECE" w:rsidRDefault="006E7ECE">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8A58C" w14:textId="77777777" w:rsidR="00DD7C7C" w:rsidRDefault="00DD7C7C">
      <w:r>
        <w:separator/>
      </w:r>
    </w:p>
  </w:footnote>
  <w:footnote w:type="continuationSeparator" w:id="0">
    <w:p w14:paraId="3F72E1AC" w14:textId="77777777" w:rsidR="00DD7C7C" w:rsidRDefault="00DD7C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F77DD"/>
    <w:multiLevelType w:val="multilevel"/>
    <w:tmpl w:val="1F8F77DD"/>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4384714D"/>
    <w:multiLevelType w:val="multilevel"/>
    <w:tmpl w:val="438471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360862813">
    <w:abstractNumId w:val="0"/>
  </w:num>
  <w:num w:numId="2" w16cid:durableId="764114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E2Mjg2YTZkZTMyMTYwY2M1OTQ5YzJlN2MyYmRjOGEifQ=="/>
  </w:docVars>
  <w:rsids>
    <w:rsidRoot w:val="00D263AC"/>
    <w:rsid w:val="000056F2"/>
    <w:rsid w:val="00102268"/>
    <w:rsid w:val="00143548"/>
    <w:rsid w:val="00172D16"/>
    <w:rsid w:val="001C1157"/>
    <w:rsid w:val="001C2D7D"/>
    <w:rsid w:val="001E4E8C"/>
    <w:rsid w:val="00261398"/>
    <w:rsid w:val="002C77B4"/>
    <w:rsid w:val="003159B1"/>
    <w:rsid w:val="00335EE6"/>
    <w:rsid w:val="00336402"/>
    <w:rsid w:val="0035069B"/>
    <w:rsid w:val="00384533"/>
    <w:rsid w:val="003C718A"/>
    <w:rsid w:val="003D1F83"/>
    <w:rsid w:val="004013BF"/>
    <w:rsid w:val="004119A2"/>
    <w:rsid w:val="00464F13"/>
    <w:rsid w:val="0049352A"/>
    <w:rsid w:val="004F25B6"/>
    <w:rsid w:val="0055222F"/>
    <w:rsid w:val="00556D67"/>
    <w:rsid w:val="00672C8A"/>
    <w:rsid w:val="006772D3"/>
    <w:rsid w:val="006B2BBF"/>
    <w:rsid w:val="006C7B42"/>
    <w:rsid w:val="006E7ECE"/>
    <w:rsid w:val="00700268"/>
    <w:rsid w:val="00796B37"/>
    <w:rsid w:val="00816555"/>
    <w:rsid w:val="008A02FC"/>
    <w:rsid w:val="008C40F7"/>
    <w:rsid w:val="00A16BB7"/>
    <w:rsid w:val="00A42499"/>
    <w:rsid w:val="00A55C76"/>
    <w:rsid w:val="00A810C4"/>
    <w:rsid w:val="00AA4170"/>
    <w:rsid w:val="00B367E9"/>
    <w:rsid w:val="00B6792A"/>
    <w:rsid w:val="00C654D2"/>
    <w:rsid w:val="00C75622"/>
    <w:rsid w:val="00D126F2"/>
    <w:rsid w:val="00D263AC"/>
    <w:rsid w:val="00D83D7C"/>
    <w:rsid w:val="00DA69F0"/>
    <w:rsid w:val="00DD7C7C"/>
    <w:rsid w:val="00DE392E"/>
    <w:rsid w:val="00EB65B0"/>
    <w:rsid w:val="00F025E4"/>
    <w:rsid w:val="00F24FE6"/>
    <w:rsid w:val="00FC4BB7"/>
    <w:rsid w:val="00FD44B7"/>
    <w:rsid w:val="06396A8B"/>
    <w:rsid w:val="48384617"/>
    <w:rsid w:val="48973EB1"/>
    <w:rsid w:val="61505D6B"/>
    <w:rsid w:val="68BB27CA"/>
    <w:rsid w:val="6D060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0C679"/>
  <w15:docId w15:val="{244053AA-9229-471A-8E60-979CC59A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Desktop\&#21271;&#20140;&#25945;&#32946;&#23398;&#38498;2023&#24180;&#24230;&#21333;&#20301;&#39044;&#31639;&#25253;&#349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zh-CN"/>
              <a:t>收入预算</a:t>
            </a:r>
            <a:endParaRPr lang="en-US"/>
          </a:p>
        </c:rich>
      </c:tx>
      <c:overlay val="0"/>
      <c:spPr>
        <a:noFill/>
        <a:ln>
          <a:noFill/>
        </a:ln>
        <a:effectLst/>
      </c:spPr>
      <c:txPr>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BEC-44CB-BB8E-7DAC2EAA8F65}"/>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BEC-44CB-BB8E-7DAC2EAA8F65}"/>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BEC-44CB-BB8E-7DAC2EAA8F65}"/>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BEC-44CB-BB8E-7DAC2EAA8F65}"/>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2BEC-44CB-BB8E-7DAC2EAA8F65}"/>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2BEC-44CB-BB8E-7DAC2EAA8F65}"/>
              </c:ext>
            </c:extLst>
          </c:dPt>
          <c:dLbls>
            <c:dLbl>
              <c:idx val="1"/>
              <c:layout>
                <c:manualLayout>
                  <c:x val="0.13677714294660601"/>
                  <c:y val="6.95508894721491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BEC-44CB-BB8E-7DAC2EAA8F65}"/>
                </c:ext>
              </c:extLst>
            </c:dLbl>
            <c:dLbl>
              <c:idx val="2"/>
              <c:layout>
                <c:manualLayout>
                  <c:x val="7.4133755524874001E-2"/>
                  <c:y val="6.882108486439199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BEC-44CB-BB8E-7DAC2EAA8F65}"/>
                </c:ext>
              </c:extLst>
            </c:dLbl>
            <c:dLbl>
              <c:idx val="3"/>
              <c:layout>
                <c:manualLayout>
                  <c:x val="8.6433150124905905E-2"/>
                  <c:y val="6.522783610382039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BEC-44CB-BB8E-7DAC2EAA8F65}"/>
                </c:ext>
              </c:extLst>
            </c:dLbl>
            <c:dLbl>
              <c:idx val="4"/>
              <c:layout>
                <c:manualLayout>
                  <c:x val="5.2914716591207701E-2"/>
                  <c:y val="7.3501385243511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BEC-44CB-BB8E-7DAC2EAA8F65}"/>
                </c:ext>
              </c:extLst>
            </c:dLbl>
            <c:dLbl>
              <c:idx val="5"/>
              <c:layout>
                <c:manualLayout>
                  <c:x val="7.9899683845596106E-2"/>
                  <c:y val="0.13861876640419901"/>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2BEC-44CB-BB8E-7DAC2EAA8F65}"/>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Sheet1!$B$2:$B$7</c:f>
              <c:strCache>
                <c:ptCount val="6"/>
                <c:pt idx="0">
                  <c:v>一般公共预算拨款收入</c:v>
                </c:pt>
                <c:pt idx="1">
                  <c:v>财政专户管理资金收入</c:v>
                </c:pt>
                <c:pt idx="2">
                  <c:v>附属单位上缴收入</c:v>
                </c:pt>
                <c:pt idx="3">
                  <c:v>事业单位经营收入</c:v>
                </c:pt>
                <c:pt idx="4">
                  <c:v>其他收入</c:v>
                </c:pt>
                <c:pt idx="5">
                  <c:v>上年结转结余</c:v>
                </c:pt>
              </c:strCache>
            </c:strRef>
          </c:cat>
          <c:val>
            <c:numRef>
              <c:f>Sheet1!$C$2:$C$7</c:f>
              <c:numCache>
                <c:formatCode>#,##0.000000</c:formatCode>
                <c:ptCount val="6"/>
                <c:pt idx="0">
                  <c:v>22844.670569999998</c:v>
                </c:pt>
                <c:pt idx="1">
                  <c:v>152</c:v>
                </c:pt>
                <c:pt idx="2">
                  <c:v>1</c:v>
                </c:pt>
                <c:pt idx="3">
                  <c:v>1700.9549999999999</c:v>
                </c:pt>
                <c:pt idx="4">
                  <c:v>361.75</c:v>
                </c:pt>
                <c:pt idx="5">
                  <c:v>3825.4485199999999</c:v>
                </c:pt>
              </c:numCache>
            </c:numRef>
          </c:val>
          <c:extLst>
            <c:ext xmlns:c16="http://schemas.microsoft.com/office/drawing/2014/chart" uri="{C3380CC4-5D6E-409C-BE32-E72D297353CC}">
              <c16:uniqueId val="{0000000C-2BEC-44CB-BB8E-7DAC2EAA8F65}"/>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noFill/>
    <a:ln w="9525" cap="flat" cmpd="sng" algn="ctr">
      <a:solidFill>
        <a:schemeClr val="dk1">
          <a:lumMod val="25000"/>
          <a:lumOff val="7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E21D-4B5E-B189-12CD687FEFC9}"/>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E21D-4B5E-B189-12CD687FEFC9}"/>
              </c:ext>
            </c:extLst>
          </c:dPt>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Sheet1!$B$27:$B$28</c:f>
              <c:strCache>
                <c:ptCount val="2"/>
                <c:pt idx="0">
                  <c:v>基本支出</c:v>
                </c:pt>
                <c:pt idx="1">
                  <c:v>项目支出</c:v>
                </c:pt>
              </c:strCache>
            </c:strRef>
          </c:cat>
          <c:val>
            <c:numRef>
              <c:f>Sheet1!$C$27:$C$28</c:f>
              <c:numCache>
                <c:formatCode>General</c:formatCode>
                <c:ptCount val="2"/>
                <c:pt idx="0">
                  <c:v>28351.96</c:v>
                </c:pt>
                <c:pt idx="1">
                  <c:v>533.86</c:v>
                </c:pt>
              </c:numCache>
            </c:numRef>
          </c:val>
          <c:extLst>
            <c:ext xmlns:c16="http://schemas.microsoft.com/office/drawing/2014/chart" uri="{C3380CC4-5D6E-409C-BE32-E72D297353CC}">
              <c16:uniqueId val="{00000004-E21D-4B5E-B189-12CD687FEFC9}"/>
            </c:ext>
          </c:extLst>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0.29148928258967599"/>
          <c:y val="0.891508938741148"/>
          <c:w val="0.44479899387576599"/>
          <c:h val="8.3333828554449596E-2"/>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407</Words>
  <Characters>2324</Characters>
  <Application>Microsoft Office Word</Application>
  <DocSecurity>0</DocSecurity>
  <Lines>19</Lines>
  <Paragraphs>5</Paragraphs>
  <ScaleCrop>false</ScaleCrop>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33</cp:revision>
  <dcterms:created xsi:type="dcterms:W3CDTF">2023-02-15T07:10:00Z</dcterms:created>
  <dcterms:modified xsi:type="dcterms:W3CDTF">2023-03-08T03:19:00Z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25F46CEA618F4F60B1A29CA48063F6FD</vt:lpwstr>
  </property>
</Properties>
</file>