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93FBF" w14:textId="77777777" w:rsidR="003C6D52"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北京铁路电气化学校2023年财政预算信息公开</w:t>
      </w:r>
    </w:p>
    <w:p w14:paraId="091F47D9" w14:textId="77777777" w:rsidR="003C6D52" w:rsidRDefault="003C6D52">
      <w:pPr>
        <w:spacing w:line="240" w:lineRule="exact"/>
        <w:jc w:val="center"/>
        <w:rPr>
          <w:rFonts w:ascii="方正小标宋简体" w:eastAsia="方正小标宋简体"/>
          <w:color w:val="000000"/>
          <w:sz w:val="32"/>
          <w:szCs w:val="32"/>
        </w:rPr>
      </w:pPr>
    </w:p>
    <w:p w14:paraId="101411EC" w14:textId="77777777" w:rsidR="003C6D52"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6D004626" w14:textId="77777777" w:rsidR="003C6D52" w:rsidRDefault="003C6D52">
      <w:pPr>
        <w:spacing w:line="240" w:lineRule="exact"/>
        <w:jc w:val="center"/>
        <w:rPr>
          <w:rFonts w:ascii="方正小标宋简体" w:eastAsia="方正小标宋简体"/>
          <w:color w:val="000000"/>
          <w:sz w:val="32"/>
          <w:szCs w:val="32"/>
        </w:rPr>
      </w:pPr>
    </w:p>
    <w:p w14:paraId="3E902195" w14:textId="77777777" w:rsidR="003C6D52"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3A651BAF" w14:textId="77777777" w:rsidR="003C6D52" w:rsidRDefault="00000000">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53E3D826" w14:textId="77777777" w:rsidR="003C6D52"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66E7FFE5" w14:textId="77777777" w:rsidR="003C6D52"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6D50E914" w14:textId="77777777" w:rsidR="003C6D52"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540A8BE4" w14:textId="77777777" w:rsidR="003C6D52"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33A58BC3" w14:textId="77777777" w:rsidR="003C6D52"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70EF7AD3" w14:textId="77777777" w:rsidR="003C6D52"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2E47D954" w14:textId="77777777" w:rsidR="003C6D52"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15693BEB" w14:textId="77777777" w:rsidR="003C6D52"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012C5608" w14:textId="77777777" w:rsidR="003C6D52"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1CED121A" w14:textId="77777777" w:rsidR="003C6D52"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4DDC34D4" w14:textId="77777777" w:rsidR="003C6D52"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13E39600" w14:textId="77777777" w:rsidR="003C6D52"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1CFE4C3A" w14:textId="77777777" w:rsidR="003C6D52"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62BF18D2" w14:textId="77777777" w:rsidR="003C6D52"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582822A1" w14:textId="77777777" w:rsidR="003C6D52"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16C55B60" w14:textId="77777777" w:rsidR="003C6D52"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2C4F2008" w14:textId="77777777" w:rsidR="003C6D52"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728CA88C" w14:textId="77777777" w:rsidR="003C6D52" w:rsidRDefault="00000000">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192AF44E" w14:textId="77777777" w:rsidR="003C6D52"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3C6D52">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1FEB081D" w14:textId="77777777" w:rsidR="003C6D52" w:rsidRDefault="003C6D5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16A307B8" w14:textId="77777777" w:rsidR="003C6D52"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076BE6C1" w14:textId="77777777" w:rsidR="003C6D52" w:rsidRDefault="003C6D52">
      <w:pPr>
        <w:spacing w:line="360" w:lineRule="auto"/>
        <w:rPr>
          <w:rFonts w:ascii="仿宋_GB2312" w:eastAsia="仿宋_GB2312"/>
          <w:color w:val="000000"/>
          <w:sz w:val="32"/>
          <w:szCs w:val="32"/>
        </w:rPr>
      </w:pPr>
    </w:p>
    <w:p w14:paraId="51802379" w14:textId="77777777" w:rsidR="003C6D52"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3BDDBCFD" w14:textId="77777777" w:rsidR="003C6D52"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44A7FC31" w14:textId="77777777" w:rsidR="003C6D5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铁路电气化学校是一所隶属北京市教委管理的全日制普通中等专业学校，是国家级重点中等专业学校、国家中等职业教育改革发展示范学校、北京市职业教育现代化标志学校，学校以詹天佑精神立校，注重培养德智体美劳全面发展的高素质技术技能人才。</w:t>
      </w:r>
    </w:p>
    <w:p w14:paraId="7B82CC2C" w14:textId="77777777" w:rsidR="003C6D5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学校由铁道部建于1952年，2004年由北京铁路局移交北京市教育委员会管理。位于昌平区南口镇，占地14582平方米，办学规模4000人。设有轨道交通技术类、供用电技术类、智慧城市类三个专业群。招收“3+2+2”直达本科贯通培养，“3+2”中高职分段培养，专科人才培养改革试点五年一贯制，三种学制。</w:t>
      </w:r>
    </w:p>
    <w:p w14:paraId="63DFB529" w14:textId="77777777" w:rsidR="003C6D5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（二）机构设置情况</w:t>
      </w:r>
    </w:p>
    <w:p w14:paraId="1835C56E" w14:textId="77777777" w:rsidR="003C6D5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学校内设党政办公室、党建科、审计与纪检办公室、人事科、财务科、特色高水平建设办公室、双创中心、融媒体中心、德育与学生工作科、团委、教务科、教育研究与督导室、基础教学科、轨道交通技术专业科、供用电技术专业科、智慧城市技术专业科、实践教学科、后勤服务中心，共18个行政管理部门。</w:t>
      </w:r>
    </w:p>
    <w:p w14:paraId="61E3D723" w14:textId="77777777" w:rsidR="003C6D52" w:rsidRDefault="00000000">
      <w:pPr>
        <w:spacing w:line="560" w:lineRule="exact"/>
        <w:ind w:firstLineChars="200" w:firstLine="640"/>
      </w:pPr>
      <w:r>
        <w:rPr>
          <w:rFonts w:ascii="仿宋_GB2312" w:eastAsia="仿宋_GB2312" w:hint="eastAsia"/>
          <w:color w:val="000000"/>
          <w:sz w:val="32"/>
          <w:szCs w:val="32"/>
        </w:rPr>
        <w:t>北京铁路电气化学校包括1个预算单位，即北京铁路电</w:t>
      </w:r>
      <w:r>
        <w:rPr>
          <w:rFonts w:ascii="仿宋_GB2312" w:eastAsia="仿宋_GB2312" w:hint="eastAsia"/>
          <w:color w:val="000000"/>
          <w:sz w:val="32"/>
          <w:szCs w:val="32"/>
        </w:rPr>
        <w:lastRenderedPageBreak/>
        <w:t xml:space="preserve">气化学校（本级）。 </w:t>
      </w:r>
    </w:p>
    <w:p w14:paraId="7CC1532C" w14:textId="77777777" w:rsidR="003C6D52"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1FA0A9AF" w14:textId="4CA0F8A0" w:rsidR="003C6D52" w:rsidRDefault="00000000">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北京铁路电气化学校</w:t>
      </w:r>
      <w:r w:rsidR="0006213E" w:rsidRPr="0006213E">
        <w:rPr>
          <w:rFonts w:ascii="仿宋_GB2312" w:eastAsia="仿宋_GB2312" w:hint="eastAsia"/>
          <w:color w:val="000000"/>
          <w:sz w:val="32"/>
          <w:szCs w:val="32"/>
        </w:rPr>
        <w:t>行政编制0人，实有人数0人；</w:t>
      </w:r>
      <w:r>
        <w:rPr>
          <w:rFonts w:ascii="仿宋_GB2312" w:eastAsia="仿宋_GB2312" w:cs="仿宋_GB2312" w:hint="eastAsia"/>
          <w:sz w:val="32"/>
          <w:szCs w:val="32"/>
        </w:rPr>
        <w:t>事业编制245人，</w:t>
      </w:r>
      <w:r w:rsidR="0042367E" w:rsidRPr="0006213E">
        <w:rPr>
          <w:rFonts w:ascii="仿宋_GB2312" w:eastAsia="仿宋_GB2312" w:hint="eastAsia"/>
          <w:color w:val="000000"/>
          <w:sz w:val="32"/>
          <w:szCs w:val="32"/>
        </w:rPr>
        <w:t>实有人数</w:t>
      </w:r>
      <w:r>
        <w:rPr>
          <w:rFonts w:ascii="仿宋_GB2312" w:eastAsia="仿宋_GB2312" w:cs="仿宋_GB2312" w:hint="eastAsia"/>
          <w:sz w:val="32"/>
          <w:szCs w:val="32"/>
        </w:rPr>
        <w:t>191人</w:t>
      </w:r>
      <w:r w:rsidR="0006213E">
        <w:rPr>
          <w:rFonts w:ascii="仿宋_GB2312" w:eastAsia="仿宋_GB2312" w:cs="仿宋_GB2312" w:hint="eastAsia"/>
          <w:sz w:val="32"/>
          <w:szCs w:val="32"/>
        </w:rPr>
        <w:t>；离休人员0人，</w:t>
      </w:r>
      <w:r>
        <w:rPr>
          <w:rFonts w:ascii="仿宋_GB2312" w:eastAsia="仿宋_GB2312" w:cs="仿宋_GB2312" w:hint="eastAsia"/>
          <w:sz w:val="32"/>
          <w:szCs w:val="32"/>
        </w:rPr>
        <w:t>退休人员147人</w:t>
      </w:r>
      <w:r w:rsidR="0006213E">
        <w:rPr>
          <w:rFonts w:ascii="仿宋_GB2312" w:eastAsia="仿宋_GB2312" w:cs="仿宋_GB2312" w:hint="eastAsia"/>
          <w:sz w:val="32"/>
          <w:szCs w:val="32"/>
        </w:rPr>
        <w:t>；</w:t>
      </w:r>
      <w:r>
        <w:rPr>
          <w:rFonts w:ascii="仿宋_GB2312" w:eastAsia="仿宋_GB2312" w:cs="仿宋_GB2312" w:hint="eastAsia"/>
          <w:sz w:val="32"/>
          <w:szCs w:val="32"/>
        </w:rPr>
        <w:t>中等教育学生</w:t>
      </w:r>
      <w:r>
        <w:rPr>
          <w:rFonts w:ascii="仿宋_GB2312" w:eastAsia="仿宋_GB2312" w:cs="仿宋_GB2312"/>
          <w:sz w:val="32"/>
          <w:szCs w:val="32"/>
        </w:rPr>
        <w:t>人数</w:t>
      </w:r>
      <w:r>
        <w:rPr>
          <w:rFonts w:ascii="仿宋_GB2312" w:eastAsia="仿宋_GB2312" w:cs="仿宋_GB2312" w:hint="eastAsia"/>
          <w:sz w:val="32"/>
          <w:szCs w:val="32"/>
        </w:rPr>
        <w:t>1477人</w:t>
      </w:r>
      <w:r w:rsidR="0006213E">
        <w:rPr>
          <w:rFonts w:ascii="仿宋_GB2312" w:eastAsia="仿宋_GB2312" w:cs="仿宋_GB2312" w:hint="eastAsia"/>
          <w:sz w:val="32"/>
          <w:szCs w:val="32"/>
        </w:rPr>
        <w:t>；其他人员无</w:t>
      </w:r>
      <w:r>
        <w:rPr>
          <w:rFonts w:ascii="仿宋_GB2312" w:eastAsia="仿宋_GB2312" w:cs="仿宋_GB2312"/>
          <w:sz w:val="32"/>
          <w:szCs w:val="32"/>
        </w:rPr>
        <w:t>。</w:t>
      </w:r>
    </w:p>
    <w:p w14:paraId="719A6B39" w14:textId="77777777" w:rsidR="003C6D52" w:rsidRDefault="00000000">
      <w:pPr>
        <w:spacing w:line="560" w:lineRule="exact"/>
        <w:ind w:firstLineChars="200" w:firstLine="640"/>
        <w:rPr>
          <w:rFonts w:ascii="黑体" w:eastAsia="黑体"/>
          <w:color w:val="000000"/>
          <w:sz w:val="28"/>
          <w:szCs w:val="28"/>
        </w:rPr>
      </w:pPr>
      <w:r>
        <w:rPr>
          <w:rFonts w:ascii="黑体" w:eastAsia="黑体" w:hint="eastAsia"/>
          <w:color w:val="000000"/>
          <w:sz w:val="32"/>
          <w:szCs w:val="32"/>
        </w:rPr>
        <w:t>二、收入预算情况说明</w:t>
      </w:r>
    </w:p>
    <w:p w14:paraId="7945D13E" w14:textId="77777777" w:rsidR="001504C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w:t>
      </w:r>
      <w:r>
        <w:rPr>
          <w:rFonts w:ascii="仿宋_GB2312" w:eastAsia="仿宋_GB2312"/>
          <w:sz w:val="32"/>
          <w:szCs w:val="32"/>
        </w:rPr>
        <w:t>9256.38</w:t>
      </w:r>
      <w:r>
        <w:rPr>
          <w:rFonts w:ascii="仿宋_GB2312" w:eastAsia="仿宋_GB2312" w:hint="eastAsia"/>
          <w:sz w:val="32"/>
          <w:szCs w:val="32"/>
        </w:rPr>
        <w:t>万元，比2022年年初预算数</w:t>
      </w:r>
      <w:r>
        <w:rPr>
          <w:rFonts w:ascii="仿宋_GB2312" w:eastAsia="仿宋_GB2312"/>
          <w:color w:val="000000"/>
          <w:sz w:val="32"/>
          <w:szCs w:val="32"/>
        </w:rPr>
        <w:t>8897.76</w:t>
      </w:r>
      <w:r>
        <w:rPr>
          <w:rFonts w:ascii="仿宋_GB2312" w:eastAsia="仿宋_GB2312" w:hint="eastAsia"/>
          <w:sz w:val="32"/>
          <w:szCs w:val="32"/>
        </w:rPr>
        <w:t>万元增加3</w:t>
      </w:r>
      <w:r>
        <w:rPr>
          <w:rFonts w:ascii="仿宋_GB2312" w:eastAsia="仿宋_GB2312"/>
          <w:sz w:val="32"/>
          <w:szCs w:val="32"/>
        </w:rPr>
        <w:t>58.62</w:t>
      </w:r>
      <w:r>
        <w:rPr>
          <w:rFonts w:ascii="仿宋_GB2312" w:eastAsia="仿宋_GB2312" w:hint="eastAsia"/>
          <w:sz w:val="32"/>
          <w:szCs w:val="32"/>
        </w:rPr>
        <w:t>万元，增长4.03%。</w:t>
      </w:r>
      <w:r w:rsidR="007379AA" w:rsidRPr="007379AA">
        <w:rPr>
          <w:rFonts w:ascii="仿宋_GB2312" w:eastAsia="仿宋_GB2312" w:hint="eastAsia"/>
          <w:sz w:val="32"/>
          <w:szCs w:val="32"/>
        </w:rPr>
        <w:t>主要原因：一是因学生人数增长，运转经费有所增加；二是根据事业发展规划调整项目安排。</w:t>
      </w:r>
    </w:p>
    <w:p w14:paraId="2BB08D7F" w14:textId="2D74EA1B" w:rsidR="003C6D5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Pr>
          <w:rFonts w:ascii="楷体_GB2312" w:eastAsia="楷体_GB2312"/>
          <w:sz w:val="32"/>
          <w:szCs w:val="32"/>
        </w:rPr>
        <w:t>8594.42</w:t>
      </w:r>
      <w:r>
        <w:rPr>
          <w:rFonts w:ascii="楷体_GB2312" w:eastAsia="楷体_GB2312" w:hint="eastAsia"/>
          <w:sz w:val="32"/>
          <w:szCs w:val="32"/>
        </w:rPr>
        <w:t>万元</w:t>
      </w:r>
    </w:p>
    <w:p w14:paraId="2F3101BA"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Pr>
          <w:rFonts w:ascii="仿宋_GB2312" w:eastAsia="仿宋_GB2312"/>
          <w:sz w:val="32"/>
          <w:szCs w:val="32"/>
        </w:rPr>
        <w:t>8594.42</w:t>
      </w:r>
      <w:r>
        <w:rPr>
          <w:rFonts w:ascii="仿宋_GB2312" w:eastAsia="仿宋_GB2312" w:hint="eastAsia"/>
          <w:sz w:val="32"/>
          <w:szCs w:val="32"/>
        </w:rPr>
        <w:t>万元。</w:t>
      </w:r>
    </w:p>
    <w:p w14:paraId="061C0614"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w:t>
      </w:r>
      <w:r>
        <w:rPr>
          <w:rFonts w:ascii="仿宋_GB2312" w:eastAsia="仿宋_GB2312"/>
          <w:sz w:val="32"/>
          <w:szCs w:val="32"/>
        </w:rPr>
        <w:t>0</w:t>
      </w:r>
      <w:r>
        <w:rPr>
          <w:rFonts w:ascii="仿宋_GB2312" w:eastAsia="仿宋_GB2312" w:hint="eastAsia"/>
          <w:sz w:val="32"/>
          <w:szCs w:val="32"/>
        </w:rPr>
        <w:t>万元。</w:t>
      </w:r>
    </w:p>
    <w:p w14:paraId="7C21E802"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Pr>
          <w:rFonts w:ascii="仿宋_GB2312" w:eastAsia="仿宋_GB2312"/>
          <w:sz w:val="32"/>
          <w:szCs w:val="32"/>
        </w:rPr>
        <w:t>0</w:t>
      </w:r>
      <w:r>
        <w:rPr>
          <w:rFonts w:ascii="仿宋_GB2312" w:eastAsia="仿宋_GB2312" w:hint="eastAsia"/>
          <w:sz w:val="32"/>
          <w:szCs w:val="32"/>
        </w:rPr>
        <w:t>万元。</w:t>
      </w:r>
    </w:p>
    <w:p w14:paraId="3BCE7E27" w14:textId="77777777" w:rsidR="003C6D5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Pr>
          <w:rFonts w:ascii="楷体_GB2312" w:eastAsia="楷体_GB2312"/>
          <w:sz w:val="32"/>
          <w:szCs w:val="32"/>
        </w:rPr>
        <w:t>460</w:t>
      </w:r>
      <w:r>
        <w:rPr>
          <w:rFonts w:ascii="楷体_GB2312" w:eastAsia="楷体_GB2312" w:hint="eastAsia"/>
          <w:sz w:val="32"/>
          <w:szCs w:val="32"/>
        </w:rPr>
        <w:t>万元</w:t>
      </w:r>
    </w:p>
    <w:p w14:paraId="7BCA6785"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w:t>
      </w:r>
      <w:r>
        <w:rPr>
          <w:rFonts w:ascii="仿宋_GB2312" w:eastAsia="仿宋_GB2312"/>
          <w:sz w:val="32"/>
          <w:szCs w:val="32"/>
        </w:rPr>
        <w:t>300</w:t>
      </w:r>
      <w:r>
        <w:rPr>
          <w:rFonts w:ascii="仿宋_GB2312" w:eastAsia="仿宋_GB2312" w:hint="eastAsia"/>
          <w:sz w:val="32"/>
          <w:szCs w:val="32"/>
        </w:rPr>
        <w:t>万元。</w:t>
      </w:r>
    </w:p>
    <w:p w14:paraId="1EF252DA"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w:t>
      </w:r>
      <w:r>
        <w:rPr>
          <w:rFonts w:ascii="仿宋_GB2312" w:eastAsia="仿宋_GB2312"/>
          <w:sz w:val="32"/>
          <w:szCs w:val="32"/>
        </w:rPr>
        <w:t>150</w:t>
      </w:r>
      <w:r>
        <w:rPr>
          <w:rFonts w:ascii="仿宋_GB2312" w:eastAsia="仿宋_GB2312" w:hint="eastAsia"/>
          <w:sz w:val="32"/>
          <w:szCs w:val="32"/>
        </w:rPr>
        <w:t>万元。</w:t>
      </w:r>
    </w:p>
    <w:p w14:paraId="516140A6"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w:t>
      </w:r>
      <w:r>
        <w:rPr>
          <w:rFonts w:ascii="仿宋_GB2312" w:eastAsia="仿宋_GB2312"/>
          <w:sz w:val="32"/>
          <w:szCs w:val="32"/>
        </w:rPr>
        <w:t>0</w:t>
      </w:r>
      <w:r>
        <w:rPr>
          <w:rFonts w:ascii="仿宋_GB2312" w:eastAsia="仿宋_GB2312" w:hint="eastAsia"/>
          <w:sz w:val="32"/>
          <w:szCs w:val="32"/>
        </w:rPr>
        <w:t>万元。</w:t>
      </w:r>
    </w:p>
    <w:p w14:paraId="1AF9F6C6"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w:t>
      </w:r>
      <w:r>
        <w:rPr>
          <w:rFonts w:ascii="仿宋_GB2312" w:eastAsia="仿宋_GB2312"/>
          <w:sz w:val="32"/>
          <w:szCs w:val="32"/>
        </w:rPr>
        <w:t>0</w:t>
      </w:r>
      <w:r>
        <w:rPr>
          <w:rFonts w:ascii="仿宋_GB2312" w:eastAsia="仿宋_GB2312" w:hint="eastAsia"/>
          <w:sz w:val="32"/>
          <w:szCs w:val="32"/>
        </w:rPr>
        <w:t>万元。</w:t>
      </w:r>
    </w:p>
    <w:p w14:paraId="027CD4F0"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w:t>
      </w:r>
      <w:r>
        <w:rPr>
          <w:rFonts w:ascii="仿宋_GB2312" w:eastAsia="仿宋_GB2312"/>
          <w:sz w:val="32"/>
          <w:szCs w:val="32"/>
        </w:rPr>
        <w:t>0</w:t>
      </w:r>
      <w:r>
        <w:rPr>
          <w:rFonts w:ascii="仿宋_GB2312" w:eastAsia="仿宋_GB2312" w:hint="eastAsia"/>
          <w:sz w:val="32"/>
          <w:szCs w:val="32"/>
        </w:rPr>
        <w:t>万元。</w:t>
      </w:r>
    </w:p>
    <w:p w14:paraId="0A01A7D9"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w:t>
      </w:r>
      <w:r>
        <w:rPr>
          <w:rFonts w:ascii="仿宋_GB2312" w:eastAsia="仿宋_GB2312"/>
          <w:sz w:val="32"/>
          <w:szCs w:val="32"/>
        </w:rPr>
        <w:t>10</w:t>
      </w:r>
      <w:r>
        <w:rPr>
          <w:rFonts w:ascii="仿宋_GB2312" w:eastAsia="仿宋_GB2312" w:hint="eastAsia"/>
          <w:sz w:val="32"/>
          <w:szCs w:val="32"/>
        </w:rPr>
        <w:t>万元。</w:t>
      </w:r>
    </w:p>
    <w:p w14:paraId="7C90ED33" w14:textId="77777777" w:rsidR="003C6D5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楷体_GB2312" w:eastAsia="楷体_GB2312"/>
          <w:sz w:val="32"/>
          <w:szCs w:val="32"/>
        </w:rPr>
        <w:t>201.96</w:t>
      </w:r>
      <w:r>
        <w:rPr>
          <w:rFonts w:ascii="楷体_GB2312" w:eastAsia="楷体_GB2312" w:hint="eastAsia"/>
          <w:sz w:val="32"/>
          <w:szCs w:val="32"/>
        </w:rPr>
        <w:t>万元</w:t>
      </w:r>
    </w:p>
    <w:p w14:paraId="5EE8A54B"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w:t>
      </w:r>
      <w:r>
        <w:rPr>
          <w:rFonts w:ascii="仿宋_GB2312" w:eastAsia="仿宋_GB2312"/>
          <w:sz w:val="32"/>
          <w:szCs w:val="32"/>
        </w:rPr>
        <w:t>201.96</w:t>
      </w:r>
      <w:r>
        <w:rPr>
          <w:rFonts w:ascii="仿宋_GB2312" w:eastAsia="仿宋_GB2312" w:hint="eastAsia"/>
          <w:sz w:val="32"/>
          <w:szCs w:val="32"/>
        </w:rPr>
        <w:t>万元。</w:t>
      </w:r>
    </w:p>
    <w:p w14:paraId="1E1A0ED5" w14:textId="77777777" w:rsidR="003C6D52" w:rsidRDefault="00000000">
      <w:pPr>
        <w:pStyle w:val="2"/>
        <w:jc w:val="center"/>
      </w:pPr>
      <w:r>
        <w:rPr>
          <w:rFonts w:ascii="仿宋_GB2312" w:eastAsia="仿宋_GB2312" w:hint="eastAsia"/>
          <w:sz w:val="32"/>
        </w:rPr>
        <w:lastRenderedPageBreak/>
        <w:t>图1：收入预算</w:t>
      </w:r>
    </w:p>
    <w:p w14:paraId="68B7BA06" w14:textId="77777777" w:rsidR="003C6D52" w:rsidRDefault="00000000">
      <w:pPr>
        <w:pStyle w:val="2"/>
        <w:jc w:val="center"/>
      </w:pPr>
      <w:r>
        <w:rPr>
          <w:noProof/>
        </w:rPr>
        <w:drawing>
          <wp:inline distT="0" distB="0" distL="0" distR="0" wp14:anchorId="6F03514A" wp14:editId="6D527000">
            <wp:extent cx="5274310" cy="3076575"/>
            <wp:effectExtent l="0" t="0" r="21590" b="952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B685E4E" w14:textId="77777777" w:rsidR="003C6D52" w:rsidRDefault="00000000">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1DF6C648" w14:textId="4AC515EF"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w:t>
      </w:r>
      <w:r>
        <w:rPr>
          <w:rFonts w:ascii="仿宋_GB2312" w:eastAsia="仿宋_GB2312"/>
          <w:sz w:val="32"/>
          <w:szCs w:val="32"/>
        </w:rPr>
        <w:t>9256.38</w:t>
      </w:r>
      <w:r>
        <w:rPr>
          <w:rFonts w:ascii="仿宋_GB2312" w:eastAsia="仿宋_GB2312" w:hint="eastAsia"/>
          <w:sz w:val="32"/>
          <w:szCs w:val="32"/>
        </w:rPr>
        <w:t>万元，比2022年年初预算数</w:t>
      </w:r>
      <w:r>
        <w:rPr>
          <w:rFonts w:ascii="仿宋_GB2312" w:eastAsia="仿宋_GB2312"/>
          <w:color w:val="000000"/>
          <w:sz w:val="32"/>
          <w:szCs w:val="32"/>
        </w:rPr>
        <w:t>8897.76</w:t>
      </w:r>
      <w:r>
        <w:rPr>
          <w:rFonts w:ascii="仿宋_GB2312" w:eastAsia="仿宋_GB2312" w:hint="eastAsia"/>
          <w:sz w:val="32"/>
          <w:szCs w:val="32"/>
        </w:rPr>
        <w:t>万元增加3</w:t>
      </w:r>
      <w:r>
        <w:rPr>
          <w:rFonts w:ascii="仿宋_GB2312" w:eastAsia="仿宋_GB2312"/>
          <w:sz w:val="32"/>
          <w:szCs w:val="32"/>
        </w:rPr>
        <w:t>58.62</w:t>
      </w:r>
      <w:r>
        <w:rPr>
          <w:rFonts w:ascii="仿宋_GB2312" w:eastAsia="仿宋_GB2312" w:hint="eastAsia"/>
          <w:sz w:val="32"/>
          <w:szCs w:val="32"/>
        </w:rPr>
        <w:t>万元，增长4.03%。</w:t>
      </w:r>
      <w:r w:rsidR="001504CF" w:rsidRPr="001504CF">
        <w:rPr>
          <w:rFonts w:ascii="仿宋_GB2312" w:eastAsia="仿宋_GB2312" w:hint="eastAsia"/>
          <w:sz w:val="32"/>
          <w:szCs w:val="32"/>
        </w:rPr>
        <w:t>主要原因：一是因学生人数增长，运转经费有所增加；二是根据事业发展规划调整项目安排。</w:t>
      </w:r>
    </w:p>
    <w:p w14:paraId="1F217A05" w14:textId="77777777" w:rsidR="003C6D52"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Pr>
          <w:rFonts w:ascii="仿宋_GB2312" w:eastAsia="仿宋_GB2312"/>
          <w:sz w:val="32"/>
          <w:szCs w:val="32"/>
        </w:rPr>
        <w:t>7578.61</w:t>
      </w:r>
      <w:r>
        <w:rPr>
          <w:rFonts w:ascii="仿宋_GB2312" w:eastAsia="仿宋_GB2312" w:hint="eastAsia"/>
          <w:sz w:val="32"/>
          <w:szCs w:val="32"/>
        </w:rPr>
        <w:t>万元，占总支出预算</w:t>
      </w:r>
      <w:r>
        <w:rPr>
          <w:rFonts w:ascii="仿宋_GB2312" w:eastAsia="仿宋_GB2312"/>
          <w:sz w:val="32"/>
          <w:szCs w:val="32"/>
        </w:rPr>
        <w:t>81.87</w:t>
      </w:r>
      <w:r>
        <w:rPr>
          <w:rFonts w:ascii="仿宋_GB2312" w:eastAsia="仿宋_GB2312" w:hint="eastAsia"/>
          <w:sz w:val="32"/>
          <w:szCs w:val="32"/>
        </w:rPr>
        <w:t>%，比2022年年初预算数</w:t>
      </w:r>
      <w:r>
        <w:rPr>
          <w:rFonts w:ascii="仿宋_GB2312" w:eastAsia="仿宋_GB2312"/>
          <w:color w:val="000000"/>
          <w:sz w:val="32"/>
          <w:szCs w:val="32"/>
        </w:rPr>
        <w:t>7067.77</w:t>
      </w:r>
      <w:r>
        <w:rPr>
          <w:rFonts w:ascii="仿宋_GB2312" w:eastAsia="仿宋_GB2312" w:hint="eastAsia"/>
          <w:sz w:val="32"/>
          <w:szCs w:val="32"/>
        </w:rPr>
        <w:t>万元增加5</w:t>
      </w:r>
      <w:r>
        <w:rPr>
          <w:rFonts w:ascii="仿宋_GB2312" w:eastAsia="仿宋_GB2312"/>
          <w:sz w:val="32"/>
          <w:szCs w:val="32"/>
        </w:rPr>
        <w:t>10.84</w:t>
      </w:r>
      <w:r>
        <w:rPr>
          <w:rFonts w:ascii="仿宋_GB2312" w:eastAsia="仿宋_GB2312" w:hint="eastAsia"/>
          <w:sz w:val="32"/>
          <w:szCs w:val="32"/>
        </w:rPr>
        <w:t>万元，增长7.23%。</w:t>
      </w:r>
    </w:p>
    <w:p w14:paraId="6252DEB1" w14:textId="77777777" w:rsidR="003C6D52"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sz w:val="32"/>
          <w:szCs w:val="32"/>
        </w:rPr>
        <w:t>1677.77</w:t>
      </w:r>
      <w:r>
        <w:rPr>
          <w:rFonts w:ascii="仿宋_GB2312" w:eastAsia="仿宋_GB2312" w:hint="eastAsia"/>
          <w:sz w:val="32"/>
          <w:szCs w:val="32"/>
        </w:rPr>
        <w:t>万元，比2022年年初预算数</w:t>
      </w:r>
      <w:r>
        <w:rPr>
          <w:rFonts w:ascii="仿宋_GB2312" w:eastAsia="仿宋_GB2312"/>
          <w:color w:val="000000"/>
          <w:sz w:val="32"/>
          <w:szCs w:val="32"/>
        </w:rPr>
        <w:t>1829.99</w:t>
      </w:r>
      <w:r>
        <w:rPr>
          <w:rFonts w:ascii="仿宋_GB2312" w:eastAsia="仿宋_GB2312" w:hint="eastAsia"/>
          <w:sz w:val="32"/>
          <w:szCs w:val="32"/>
        </w:rPr>
        <w:t>万元减少</w:t>
      </w:r>
      <w:r>
        <w:rPr>
          <w:rFonts w:ascii="仿宋_GB2312" w:eastAsia="仿宋_GB2312"/>
          <w:sz w:val="32"/>
          <w:szCs w:val="32"/>
        </w:rPr>
        <w:t>152.22</w:t>
      </w:r>
      <w:r>
        <w:rPr>
          <w:rFonts w:ascii="仿宋_GB2312" w:eastAsia="仿宋_GB2312" w:hint="eastAsia"/>
          <w:sz w:val="32"/>
          <w:szCs w:val="32"/>
        </w:rPr>
        <w:t>万元，下降8.32%。其中：</w:t>
      </w:r>
    </w:p>
    <w:p w14:paraId="20361414" w14:textId="77777777" w:rsidR="003C6D52" w:rsidRDefault="00000000">
      <w:pPr>
        <w:spacing w:line="560" w:lineRule="exact"/>
        <w:ind w:firstLine="640"/>
        <w:rPr>
          <w:rFonts w:ascii="仿宋_GB2312" w:eastAsia="仿宋_GB2312"/>
          <w:sz w:val="32"/>
          <w:szCs w:val="32"/>
        </w:rPr>
      </w:pPr>
      <w:r>
        <w:rPr>
          <w:rFonts w:ascii="仿宋_GB2312" w:eastAsia="仿宋_GB2312" w:hint="eastAsia"/>
          <w:sz w:val="32"/>
          <w:szCs w:val="32"/>
        </w:rPr>
        <w:t>1.事业单位经营支出</w:t>
      </w:r>
      <w:r>
        <w:rPr>
          <w:rFonts w:ascii="仿宋_GB2312" w:eastAsia="仿宋_GB2312"/>
          <w:sz w:val="32"/>
          <w:szCs w:val="32"/>
        </w:rPr>
        <w:t>0</w:t>
      </w:r>
      <w:r>
        <w:rPr>
          <w:rFonts w:ascii="仿宋_GB2312" w:eastAsia="仿宋_GB2312" w:hint="eastAsia"/>
          <w:sz w:val="32"/>
          <w:szCs w:val="32"/>
        </w:rPr>
        <w:t>万元。</w:t>
      </w:r>
    </w:p>
    <w:p w14:paraId="55AD0CB2" w14:textId="77777777" w:rsidR="003C6D52" w:rsidRDefault="00000000">
      <w:pPr>
        <w:spacing w:line="560" w:lineRule="exact"/>
        <w:ind w:firstLine="640"/>
        <w:rPr>
          <w:rFonts w:ascii="仿宋_GB2312" w:eastAsia="仿宋_GB2312"/>
          <w:sz w:val="32"/>
          <w:szCs w:val="32"/>
        </w:rPr>
      </w:pPr>
      <w:r>
        <w:rPr>
          <w:rFonts w:ascii="仿宋_GB2312" w:eastAsia="仿宋_GB2312" w:hint="eastAsia"/>
          <w:sz w:val="32"/>
          <w:szCs w:val="32"/>
        </w:rPr>
        <w:t>2.上缴上级支出</w:t>
      </w:r>
      <w:r>
        <w:rPr>
          <w:rFonts w:ascii="仿宋_GB2312" w:eastAsia="仿宋_GB2312"/>
          <w:sz w:val="32"/>
          <w:szCs w:val="32"/>
        </w:rPr>
        <w:t>0</w:t>
      </w:r>
      <w:r>
        <w:rPr>
          <w:rFonts w:ascii="仿宋_GB2312" w:eastAsia="仿宋_GB2312" w:hint="eastAsia"/>
          <w:sz w:val="32"/>
          <w:szCs w:val="32"/>
        </w:rPr>
        <w:t>万元。</w:t>
      </w:r>
    </w:p>
    <w:p w14:paraId="6ACCE2CD" w14:textId="77777777" w:rsidR="003C6D52" w:rsidRDefault="00000000">
      <w:pPr>
        <w:spacing w:line="560" w:lineRule="exact"/>
        <w:ind w:firstLine="640"/>
        <w:rPr>
          <w:rFonts w:ascii="仿宋_GB2312" w:eastAsia="仿宋_GB2312"/>
          <w:sz w:val="32"/>
          <w:szCs w:val="32"/>
        </w:rPr>
      </w:pPr>
      <w:r>
        <w:rPr>
          <w:rFonts w:ascii="仿宋_GB2312" w:eastAsia="仿宋_GB2312" w:hint="eastAsia"/>
          <w:sz w:val="32"/>
          <w:szCs w:val="32"/>
        </w:rPr>
        <w:lastRenderedPageBreak/>
        <w:t>3.对附属单位补助支出</w:t>
      </w:r>
      <w:r>
        <w:rPr>
          <w:rFonts w:ascii="仿宋_GB2312" w:eastAsia="仿宋_GB2312"/>
          <w:sz w:val="32"/>
          <w:szCs w:val="32"/>
        </w:rPr>
        <w:t>0</w:t>
      </w:r>
      <w:r>
        <w:rPr>
          <w:rFonts w:ascii="仿宋_GB2312" w:eastAsia="仿宋_GB2312" w:hint="eastAsia"/>
          <w:sz w:val="32"/>
          <w:szCs w:val="32"/>
        </w:rPr>
        <w:t>万元。</w:t>
      </w:r>
    </w:p>
    <w:p w14:paraId="5125C004" w14:textId="77777777" w:rsidR="003C6D52" w:rsidRDefault="00000000">
      <w:pPr>
        <w:pStyle w:val="2"/>
        <w:jc w:val="center"/>
        <w:rPr>
          <w:rFonts w:ascii="仿宋_GB2312" w:eastAsia="仿宋_GB2312"/>
          <w:sz w:val="32"/>
        </w:rPr>
      </w:pPr>
      <w:r>
        <w:rPr>
          <w:rFonts w:ascii="仿宋_GB2312" w:eastAsia="仿宋_GB2312" w:hint="eastAsia"/>
          <w:sz w:val="32"/>
        </w:rPr>
        <w:t>图2：基本支出和项目支出情况</w:t>
      </w:r>
    </w:p>
    <w:p w14:paraId="304448DF" w14:textId="77777777" w:rsidR="003C6D52" w:rsidRDefault="00000000">
      <w:r>
        <w:rPr>
          <w:noProof/>
        </w:rPr>
        <w:drawing>
          <wp:inline distT="0" distB="0" distL="0" distR="0" wp14:anchorId="0E9FB467" wp14:editId="1FD88566">
            <wp:extent cx="5274310" cy="3076575"/>
            <wp:effectExtent l="0" t="0" r="21590" b="952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6AC70AC" w14:textId="77777777" w:rsidR="003C6D52" w:rsidRDefault="00000000">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606B5245" w14:textId="77777777" w:rsidR="003C6D5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10400E77"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北京铁路</w:t>
      </w:r>
      <w:r>
        <w:rPr>
          <w:rFonts w:ascii="仿宋_GB2312" w:eastAsia="仿宋_GB2312"/>
          <w:sz w:val="32"/>
          <w:szCs w:val="32"/>
        </w:rPr>
        <w:t>电气化学校</w:t>
      </w:r>
      <w:r>
        <w:rPr>
          <w:rFonts w:ascii="仿宋_GB2312" w:eastAsia="仿宋_GB2312" w:hint="eastAsia"/>
          <w:sz w:val="32"/>
          <w:szCs w:val="32"/>
        </w:rPr>
        <w:t>因公出国（境）费用、公务接待费、公务用车购置和运行维护费开支单位包括1个所属单位。其他所属单位2023年无财政拨款安排的“三公”经费预算。</w:t>
      </w:r>
    </w:p>
    <w:p w14:paraId="0477A634" w14:textId="77777777" w:rsidR="003C6D52" w:rsidRDefault="00000000">
      <w:pPr>
        <w:numPr>
          <w:ilvl w:val="0"/>
          <w:numId w:val="1"/>
        </w:numPr>
        <w:spacing w:line="560" w:lineRule="exact"/>
        <w:ind w:firstLineChars="200" w:firstLine="640"/>
        <w:rPr>
          <w:rFonts w:ascii="楷体_GB2312" w:eastAsia="楷体_GB2312"/>
          <w:sz w:val="32"/>
          <w:szCs w:val="32"/>
        </w:rPr>
      </w:pPr>
      <w:r>
        <w:rPr>
          <w:rFonts w:ascii="楷体_GB2312" w:eastAsia="楷体_GB2312" w:hint="eastAsia"/>
          <w:sz w:val="32"/>
          <w:szCs w:val="32"/>
        </w:rPr>
        <w:t>财政拨款“三公”经费预算情况说明</w:t>
      </w:r>
    </w:p>
    <w:p w14:paraId="7D2FCA7D"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w:t>
      </w:r>
      <w:r>
        <w:rPr>
          <w:rFonts w:ascii="仿宋_GB2312" w:eastAsia="仿宋_GB2312"/>
          <w:sz w:val="32"/>
          <w:szCs w:val="32"/>
        </w:rPr>
        <w:t>1.00</w:t>
      </w:r>
      <w:r>
        <w:rPr>
          <w:rFonts w:ascii="仿宋_GB2312" w:eastAsia="仿宋_GB2312" w:hint="eastAsia"/>
          <w:sz w:val="32"/>
          <w:szCs w:val="32"/>
        </w:rPr>
        <w:t>万元，比2022年财政拨款“三公”经费预算减少</w:t>
      </w:r>
      <w:r>
        <w:rPr>
          <w:rFonts w:ascii="仿宋_GB2312" w:eastAsia="仿宋_GB2312"/>
          <w:sz w:val="32"/>
          <w:szCs w:val="32"/>
        </w:rPr>
        <w:t>2.60</w:t>
      </w:r>
      <w:r>
        <w:rPr>
          <w:rFonts w:ascii="仿宋_GB2312" w:eastAsia="仿宋_GB2312" w:hint="eastAsia"/>
          <w:sz w:val="32"/>
          <w:szCs w:val="32"/>
        </w:rPr>
        <w:t>万元。其中：</w:t>
      </w:r>
    </w:p>
    <w:p w14:paraId="2D78270E"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w:t>
      </w:r>
      <w:r>
        <w:rPr>
          <w:rFonts w:ascii="仿宋_GB2312" w:eastAsia="仿宋_GB2312"/>
          <w:sz w:val="32"/>
          <w:szCs w:val="32"/>
        </w:rPr>
        <w:t>0</w:t>
      </w:r>
      <w:r>
        <w:rPr>
          <w:rFonts w:ascii="仿宋_GB2312" w:eastAsia="仿宋_GB2312" w:hint="eastAsia"/>
          <w:sz w:val="32"/>
          <w:szCs w:val="32"/>
        </w:rPr>
        <w:t>万元，与2022年持平。</w:t>
      </w:r>
    </w:p>
    <w:p w14:paraId="757F117C"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w:t>
      </w:r>
      <w:r>
        <w:rPr>
          <w:rFonts w:ascii="仿宋_GB2312" w:eastAsia="仿宋_GB2312"/>
          <w:sz w:val="32"/>
          <w:szCs w:val="32"/>
        </w:rPr>
        <w:t>0</w:t>
      </w:r>
      <w:r>
        <w:rPr>
          <w:rFonts w:ascii="仿宋_GB2312" w:eastAsia="仿宋_GB2312" w:hint="eastAsia"/>
          <w:sz w:val="32"/>
          <w:szCs w:val="32"/>
        </w:rPr>
        <w:t>万元，与2022年持平。</w:t>
      </w:r>
    </w:p>
    <w:p w14:paraId="26CEB43D" w14:textId="2E76BDC7" w:rsidR="003C6D52" w:rsidRDefault="00000000">
      <w:pPr>
        <w:spacing w:line="560" w:lineRule="exact"/>
        <w:ind w:firstLineChars="200" w:firstLine="640"/>
        <w:rPr>
          <w:rFonts w:ascii="仿宋_GB2312" w:eastAsia="仿宋_GB2312"/>
          <w:sz w:val="32"/>
          <w:szCs w:val="32"/>
          <w:highlight w:val="yellow"/>
        </w:rPr>
      </w:pPr>
      <w:r>
        <w:rPr>
          <w:rFonts w:ascii="仿宋_GB2312" w:eastAsia="仿宋_GB2312" w:hint="eastAsia"/>
          <w:sz w:val="32"/>
          <w:szCs w:val="32"/>
        </w:rPr>
        <w:t>3.公务用车购置和运行维护费。2023年预算数1万元，</w:t>
      </w:r>
      <w:r>
        <w:rPr>
          <w:rFonts w:ascii="仿宋_GB2312" w:eastAsia="仿宋_GB2312" w:hint="eastAsia"/>
          <w:sz w:val="32"/>
          <w:szCs w:val="32"/>
        </w:rPr>
        <w:lastRenderedPageBreak/>
        <w:t>其中，公务用车购置费2023年预算数0万元，与2022年持平。公务用车运行维护费2023年预算数</w:t>
      </w:r>
      <w:r>
        <w:rPr>
          <w:rFonts w:ascii="仿宋_GB2312" w:eastAsia="仿宋_GB2312"/>
          <w:sz w:val="32"/>
          <w:szCs w:val="32"/>
        </w:rPr>
        <w:t>1.00</w:t>
      </w:r>
      <w:r>
        <w:rPr>
          <w:rFonts w:ascii="仿宋_GB2312" w:eastAsia="仿宋_GB2312" w:hint="eastAsia"/>
          <w:sz w:val="32"/>
          <w:szCs w:val="32"/>
        </w:rPr>
        <w:t>万元，其中：公务用车燃油</w:t>
      </w:r>
      <w:r>
        <w:rPr>
          <w:rFonts w:ascii="仿宋_GB2312" w:eastAsia="仿宋_GB2312"/>
          <w:sz w:val="32"/>
          <w:szCs w:val="32"/>
        </w:rPr>
        <w:t>0</w:t>
      </w:r>
      <w:r>
        <w:rPr>
          <w:rFonts w:ascii="仿宋_GB2312" w:eastAsia="仿宋_GB2312" w:hint="eastAsia"/>
          <w:sz w:val="32"/>
          <w:szCs w:val="32"/>
        </w:rPr>
        <w:t>万元，公务用车维修</w:t>
      </w:r>
      <w:r>
        <w:rPr>
          <w:rFonts w:ascii="仿宋_GB2312" w:eastAsia="仿宋_GB2312"/>
          <w:sz w:val="32"/>
          <w:szCs w:val="32"/>
        </w:rPr>
        <w:t>0.60</w:t>
      </w:r>
      <w:r>
        <w:rPr>
          <w:rFonts w:ascii="仿宋_GB2312" w:eastAsia="仿宋_GB2312" w:hint="eastAsia"/>
          <w:sz w:val="32"/>
          <w:szCs w:val="32"/>
        </w:rPr>
        <w:t>万元，公务用车保险</w:t>
      </w:r>
      <w:r>
        <w:rPr>
          <w:rFonts w:ascii="仿宋_GB2312" w:eastAsia="仿宋_GB2312"/>
          <w:sz w:val="32"/>
          <w:szCs w:val="32"/>
        </w:rPr>
        <w:t>0.40</w:t>
      </w:r>
      <w:r>
        <w:rPr>
          <w:rFonts w:ascii="仿宋_GB2312" w:eastAsia="仿宋_GB2312" w:hint="eastAsia"/>
          <w:sz w:val="32"/>
          <w:szCs w:val="32"/>
        </w:rPr>
        <w:t>万元，其他支出</w:t>
      </w:r>
      <w:r>
        <w:rPr>
          <w:rFonts w:ascii="仿宋_GB2312" w:eastAsia="仿宋_GB2312"/>
          <w:sz w:val="32"/>
          <w:szCs w:val="32"/>
        </w:rPr>
        <w:t>0</w:t>
      </w:r>
      <w:r>
        <w:rPr>
          <w:rFonts w:ascii="仿宋_GB2312" w:eastAsia="仿宋_GB2312" w:hint="eastAsia"/>
          <w:sz w:val="32"/>
          <w:szCs w:val="32"/>
        </w:rPr>
        <w:t>万元。公务用车运行维护费2023年预算数比2022年年初预算数</w:t>
      </w:r>
      <w:r>
        <w:rPr>
          <w:rFonts w:ascii="仿宋_GB2312" w:eastAsia="仿宋_GB2312"/>
          <w:sz w:val="32"/>
          <w:szCs w:val="32"/>
        </w:rPr>
        <w:t>3.60</w:t>
      </w:r>
      <w:r>
        <w:rPr>
          <w:rFonts w:ascii="仿宋_GB2312" w:eastAsia="仿宋_GB2312" w:hint="eastAsia"/>
          <w:sz w:val="32"/>
          <w:szCs w:val="32"/>
        </w:rPr>
        <w:t>万元减少2</w:t>
      </w:r>
      <w:r>
        <w:rPr>
          <w:rFonts w:ascii="仿宋_GB2312" w:eastAsia="仿宋_GB2312"/>
          <w:sz w:val="32"/>
          <w:szCs w:val="32"/>
        </w:rPr>
        <w:t>.60</w:t>
      </w:r>
      <w:r>
        <w:rPr>
          <w:rFonts w:ascii="仿宋_GB2312" w:eastAsia="仿宋_GB2312" w:hint="eastAsia"/>
          <w:sz w:val="32"/>
          <w:szCs w:val="32"/>
        </w:rPr>
        <w:t>万元。主要原因：</w:t>
      </w:r>
      <w:r>
        <w:rPr>
          <w:rFonts w:ascii="仿宋_GB2312" w:eastAsia="仿宋_GB2312" w:cs="仿宋_GB2312" w:hint="eastAsia"/>
          <w:snapToGrid w:val="0"/>
          <w:kern w:val="0"/>
          <w:sz w:val="32"/>
          <w:szCs w:val="32"/>
        </w:rPr>
        <w:t>坚持厉行节约，严格控制公务用车运行维护费</w:t>
      </w:r>
      <w:r>
        <w:rPr>
          <w:rFonts w:ascii="仿宋_GB2312" w:eastAsia="仿宋_GB2312" w:hint="eastAsia"/>
          <w:color w:val="000000"/>
          <w:sz w:val="32"/>
          <w:szCs w:val="32"/>
        </w:rPr>
        <w:t>。</w:t>
      </w:r>
    </w:p>
    <w:p w14:paraId="62E55B1B" w14:textId="77777777" w:rsidR="003C6D52" w:rsidRDefault="00000000">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13E4F793" w14:textId="77777777" w:rsidR="003C6D5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51FA70EF"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w:t>
      </w:r>
      <w:r>
        <w:rPr>
          <w:rFonts w:ascii="仿宋_GB2312" w:eastAsia="仿宋_GB2312"/>
          <w:sz w:val="32"/>
          <w:szCs w:val="32"/>
        </w:rPr>
        <w:t>铁路电气化学校</w:t>
      </w:r>
      <w:r>
        <w:rPr>
          <w:rFonts w:ascii="仿宋_GB2312" w:eastAsia="仿宋_GB2312" w:hint="eastAsia"/>
          <w:sz w:val="32"/>
          <w:szCs w:val="32"/>
        </w:rPr>
        <w:t>政府采购预算总额</w:t>
      </w:r>
      <w:r>
        <w:rPr>
          <w:rFonts w:ascii="仿宋_GB2312" w:eastAsia="仿宋_GB2312"/>
          <w:sz w:val="32"/>
          <w:szCs w:val="32"/>
        </w:rPr>
        <w:t>1359.37</w:t>
      </w:r>
      <w:r>
        <w:rPr>
          <w:rFonts w:ascii="仿宋_GB2312" w:eastAsia="仿宋_GB2312" w:hint="eastAsia"/>
          <w:sz w:val="32"/>
          <w:szCs w:val="32"/>
        </w:rPr>
        <w:t>万元，其中：政府采购货物预算</w:t>
      </w:r>
      <w:r>
        <w:rPr>
          <w:rFonts w:ascii="仿宋_GB2312" w:eastAsia="仿宋_GB2312"/>
          <w:sz w:val="32"/>
          <w:szCs w:val="32"/>
        </w:rPr>
        <w:t>675.66</w:t>
      </w:r>
      <w:r>
        <w:rPr>
          <w:rFonts w:ascii="仿宋_GB2312" w:eastAsia="仿宋_GB2312" w:hint="eastAsia"/>
          <w:sz w:val="32"/>
          <w:szCs w:val="32"/>
        </w:rPr>
        <w:t>万元，政府采购工程预算</w:t>
      </w:r>
      <w:r>
        <w:rPr>
          <w:rFonts w:ascii="仿宋_GB2312" w:eastAsia="仿宋_GB2312"/>
          <w:sz w:val="32"/>
          <w:szCs w:val="32"/>
        </w:rPr>
        <w:t>644.91</w:t>
      </w:r>
      <w:r>
        <w:rPr>
          <w:rFonts w:ascii="仿宋_GB2312" w:eastAsia="仿宋_GB2312" w:hint="eastAsia"/>
          <w:sz w:val="32"/>
          <w:szCs w:val="32"/>
        </w:rPr>
        <w:t>万元，政府采购服务预算</w:t>
      </w:r>
      <w:r>
        <w:rPr>
          <w:rFonts w:ascii="仿宋_GB2312" w:eastAsia="仿宋_GB2312"/>
          <w:sz w:val="32"/>
          <w:szCs w:val="32"/>
        </w:rPr>
        <w:t>38.80</w:t>
      </w:r>
      <w:r>
        <w:rPr>
          <w:rFonts w:ascii="仿宋_GB2312" w:eastAsia="仿宋_GB2312" w:hint="eastAsia"/>
          <w:sz w:val="32"/>
          <w:szCs w:val="32"/>
        </w:rPr>
        <w:t>万元。</w:t>
      </w:r>
    </w:p>
    <w:p w14:paraId="0FCB52F3" w14:textId="77777777" w:rsidR="003C6D5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0639EAC1" w14:textId="77777777" w:rsidR="003C6D5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2023年本单位无政府购买服务预算。</w:t>
      </w:r>
    </w:p>
    <w:p w14:paraId="76EFA39C" w14:textId="77777777" w:rsidR="003C6D5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62648C09" w14:textId="77777777" w:rsidR="003C6D52" w:rsidRDefault="00000000">
      <w:pPr>
        <w:spacing w:line="560" w:lineRule="exact"/>
        <w:ind w:firstLineChars="200" w:firstLine="640"/>
        <w:rPr>
          <w:highlight w:val="yellow"/>
        </w:rPr>
      </w:pPr>
      <w:r>
        <w:rPr>
          <w:rFonts w:ascii="仿宋_GB2312" w:eastAsia="仿宋_GB2312" w:hint="eastAsia"/>
          <w:color w:val="000000"/>
          <w:sz w:val="32"/>
          <w:szCs w:val="32"/>
        </w:rPr>
        <w:t>我单位不在机关运行经费统计范围之内。</w:t>
      </w:r>
    </w:p>
    <w:p w14:paraId="465D128E" w14:textId="77777777" w:rsidR="003C6D5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7B9DB0E4"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Pr>
          <w:rFonts w:ascii="仿宋_GB2312" w:eastAsia="仿宋_GB2312" w:hint="eastAsia"/>
          <w:color w:val="000000"/>
          <w:sz w:val="32"/>
          <w:szCs w:val="32"/>
        </w:rPr>
        <w:t>北京铁路电气化学校</w:t>
      </w:r>
      <w:r>
        <w:rPr>
          <w:rFonts w:ascii="仿宋_GB2312" w:eastAsia="仿宋_GB2312" w:hint="eastAsia"/>
          <w:sz w:val="32"/>
          <w:szCs w:val="32"/>
        </w:rPr>
        <w:t>填报绩效目标的预算项目</w:t>
      </w:r>
      <w:r>
        <w:rPr>
          <w:rFonts w:ascii="仿宋_GB2312" w:eastAsia="仿宋_GB2312"/>
          <w:sz w:val="32"/>
          <w:szCs w:val="32"/>
        </w:rPr>
        <w:t>11</w:t>
      </w:r>
      <w:r>
        <w:rPr>
          <w:rFonts w:ascii="仿宋_GB2312" w:eastAsia="仿宋_GB2312" w:hint="eastAsia"/>
          <w:sz w:val="32"/>
          <w:szCs w:val="32"/>
        </w:rPr>
        <w:t>个，占本单位本年预算项目</w:t>
      </w:r>
      <w:r>
        <w:rPr>
          <w:rFonts w:ascii="仿宋_GB2312" w:eastAsia="仿宋_GB2312"/>
          <w:sz w:val="32"/>
          <w:szCs w:val="32"/>
        </w:rPr>
        <w:t>11</w:t>
      </w:r>
      <w:r>
        <w:rPr>
          <w:rFonts w:ascii="仿宋_GB2312" w:eastAsia="仿宋_GB2312" w:hint="eastAsia"/>
          <w:sz w:val="32"/>
          <w:szCs w:val="32"/>
        </w:rPr>
        <w:t>个的</w:t>
      </w:r>
      <w:r>
        <w:rPr>
          <w:rFonts w:ascii="仿宋_GB2312" w:eastAsia="仿宋_GB2312"/>
          <w:sz w:val="32"/>
          <w:szCs w:val="32"/>
        </w:rPr>
        <w:t>100</w:t>
      </w:r>
      <w:r>
        <w:rPr>
          <w:rFonts w:ascii="仿宋_GB2312" w:eastAsia="仿宋_GB2312" w:hint="eastAsia"/>
          <w:sz w:val="32"/>
          <w:szCs w:val="32"/>
        </w:rPr>
        <w:t>%。填报绩效目标的项目支出预算</w:t>
      </w:r>
      <w:r>
        <w:rPr>
          <w:rFonts w:ascii="仿宋_GB2312" w:eastAsia="仿宋_GB2312"/>
          <w:sz w:val="32"/>
          <w:szCs w:val="32"/>
        </w:rPr>
        <w:t>1475.80</w:t>
      </w:r>
      <w:r>
        <w:rPr>
          <w:rFonts w:ascii="仿宋_GB2312" w:eastAsia="仿宋_GB2312" w:hint="eastAsia"/>
          <w:sz w:val="32"/>
          <w:szCs w:val="32"/>
        </w:rPr>
        <w:t>万元，占本单位本年项目支出预算的</w:t>
      </w:r>
      <w:r>
        <w:rPr>
          <w:rFonts w:ascii="仿宋_GB2312" w:eastAsia="仿宋_GB2312"/>
          <w:sz w:val="32"/>
          <w:szCs w:val="32"/>
        </w:rPr>
        <w:t>100</w:t>
      </w:r>
      <w:r>
        <w:rPr>
          <w:rFonts w:ascii="仿宋_GB2312" w:eastAsia="仿宋_GB2312" w:hint="eastAsia"/>
          <w:sz w:val="32"/>
          <w:szCs w:val="32"/>
        </w:rPr>
        <w:t>%</w:t>
      </w:r>
    </w:p>
    <w:p w14:paraId="6B981CD4" w14:textId="77777777" w:rsidR="003C6D5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4596D08D" w14:textId="77777777" w:rsidR="003C6D5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本单位2023年无重点行政事业性收费。</w:t>
      </w:r>
    </w:p>
    <w:p w14:paraId="45CB7B7A" w14:textId="77777777" w:rsidR="003C6D5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2A4CD163" w14:textId="77777777" w:rsidR="003C6D5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w:t>
      </w:r>
      <w:r>
        <w:rPr>
          <w:rFonts w:ascii="仿宋_GB2312" w:eastAsia="仿宋_GB2312" w:hint="eastAsia"/>
          <w:color w:val="000000"/>
          <w:sz w:val="32"/>
          <w:szCs w:val="32"/>
        </w:rPr>
        <w:lastRenderedPageBreak/>
        <w:t>算。</w:t>
      </w:r>
    </w:p>
    <w:p w14:paraId="6009832D" w14:textId="77777777" w:rsidR="003C6D52"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67FA48BC" w14:textId="77777777" w:rsidR="003C6D5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截至2022年底，北京铁路电气化学校共有车辆7台，共计</w:t>
      </w:r>
      <w:r>
        <w:rPr>
          <w:rFonts w:ascii="仿宋_GB2312" w:eastAsia="仿宋_GB2312"/>
          <w:color w:val="000000"/>
          <w:sz w:val="32"/>
          <w:szCs w:val="32"/>
        </w:rPr>
        <w:t>202</w:t>
      </w:r>
      <w:r>
        <w:rPr>
          <w:rFonts w:ascii="仿宋_GB2312" w:eastAsia="仿宋_GB2312" w:hint="eastAsia"/>
          <w:color w:val="000000"/>
          <w:sz w:val="32"/>
          <w:szCs w:val="32"/>
        </w:rPr>
        <w:t>.</w:t>
      </w:r>
      <w:r>
        <w:rPr>
          <w:rFonts w:ascii="仿宋_GB2312" w:eastAsia="仿宋_GB2312"/>
          <w:color w:val="000000"/>
          <w:sz w:val="32"/>
          <w:szCs w:val="32"/>
        </w:rPr>
        <w:t>04</w:t>
      </w:r>
      <w:r>
        <w:rPr>
          <w:rFonts w:ascii="仿宋_GB2312" w:eastAsia="仿宋_GB2312" w:hint="eastAsia"/>
          <w:color w:val="000000"/>
          <w:sz w:val="32"/>
          <w:szCs w:val="32"/>
        </w:rPr>
        <w:t>万元；单位价值50万元以上的通用设备18台（套），共计2087.19万元，单位价值100万元以上的专用设备5台（套）、共计746.70万元。</w:t>
      </w:r>
    </w:p>
    <w:p w14:paraId="07C54A03" w14:textId="77777777" w:rsidR="003C6D52" w:rsidRDefault="00000000">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36B51647" w14:textId="77777777" w:rsidR="003C6D5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7ED005B6" w14:textId="77777777" w:rsidR="003C6D5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502C98AD" w14:textId="77777777" w:rsidR="003C6D5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03E77491" w14:textId="77777777" w:rsidR="003C6D52" w:rsidRDefault="003C6D52">
      <w:pPr>
        <w:pStyle w:val="2"/>
      </w:pPr>
    </w:p>
    <w:p w14:paraId="2DF81DE9" w14:textId="77777777" w:rsidR="00D04092" w:rsidRDefault="00D04092">
      <w:pPr>
        <w:spacing w:line="560" w:lineRule="exact"/>
        <w:jc w:val="center"/>
        <w:rPr>
          <w:rFonts w:ascii="方正小标宋简体" w:eastAsia="方正小标宋简体"/>
          <w:color w:val="000000"/>
          <w:sz w:val="36"/>
          <w:szCs w:val="36"/>
        </w:rPr>
        <w:sectPr w:rsidR="00D04092">
          <w:pgSz w:w="11906" w:h="16838"/>
          <w:pgMar w:top="1440" w:right="1800" w:bottom="1440" w:left="1800" w:header="851" w:footer="992" w:gutter="0"/>
          <w:cols w:space="425"/>
          <w:docGrid w:type="lines" w:linePitch="312"/>
        </w:sectPr>
      </w:pPr>
    </w:p>
    <w:p w14:paraId="616F8D6E" w14:textId="77777777" w:rsidR="003C6D52"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0F919BFE" w14:textId="77777777" w:rsidR="003C6D52" w:rsidRDefault="003C6D52">
      <w:pPr>
        <w:autoSpaceDE w:val="0"/>
        <w:autoSpaceDN w:val="0"/>
        <w:adjustRightInd w:val="0"/>
        <w:spacing w:line="560" w:lineRule="exact"/>
        <w:jc w:val="left"/>
        <w:rPr>
          <w:rFonts w:ascii="方正小标宋简体" w:eastAsia="方正小标宋简体"/>
          <w:color w:val="000000"/>
          <w:sz w:val="36"/>
          <w:szCs w:val="36"/>
        </w:rPr>
      </w:pPr>
    </w:p>
    <w:p w14:paraId="601A0962" w14:textId="77777777" w:rsidR="003C6D5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附件：北京铁路电气化学校2023年度单位预算报表</w:t>
      </w:r>
      <w:r>
        <w:rPr>
          <w:rFonts w:ascii="仿宋_GB2312" w:eastAsia="仿宋_GB2312" w:cs="宋体" w:hint="eastAsia"/>
          <w:color w:val="000000"/>
          <w:kern w:val="0"/>
          <w:sz w:val="32"/>
          <w:szCs w:val="32"/>
          <w:lang w:val="zh-CN"/>
        </w:rPr>
        <w:t xml:space="preserve"> </w:t>
      </w:r>
    </w:p>
    <w:p w14:paraId="61E6D196" w14:textId="77777777" w:rsidR="003C6D52" w:rsidRDefault="003C6D52"/>
    <w:sectPr w:rsidR="003C6D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92A04" w14:textId="77777777" w:rsidR="00206F6E" w:rsidRDefault="00206F6E" w:rsidP="007379AA">
      <w:r>
        <w:separator/>
      </w:r>
    </w:p>
  </w:endnote>
  <w:endnote w:type="continuationSeparator" w:id="0">
    <w:p w14:paraId="66B23493" w14:textId="77777777" w:rsidR="00206F6E" w:rsidRDefault="00206F6E" w:rsidP="00737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EADF6" w14:textId="77777777" w:rsidR="00206F6E" w:rsidRDefault="00206F6E" w:rsidP="007379AA">
      <w:r>
        <w:separator/>
      </w:r>
    </w:p>
  </w:footnote>
  <w:footnote w:type="continuationSeparator" w:id="0">
    <w:p w14:paraId="342B4285" w14:textId="77777777" w:rsidR="00206F6E" w:rsidRDefault="00206F6E" w:rsidP="007379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7B2445B"/>
    <w:multiLevelType w:val="singleLevel"/>
    <w:tmpl w:val="E7B2445B"/>
    <w:lvl w:ilvl="0">
      <w:start w:val="2"/>
      <w:numFmt w:val="chineseCounting"/>
      <w:suff w:val="nothing"/>
      <w:lvlText w:val="（%1）"/>
      <w:lvlJc w:val="left"/>
      <w:rPr>
        <w:rFonts w:hint="eastAsia"/>
      </w:rPr>
    </w:lvl>
  </w:abstractNum>
  <w:num w:numId="1" w16cid:durableId="1585872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GZmZWJhYzgwYWZlY2M4OTU1NzQ5MTg3NjE1YWY4OWQifQ=="/>
  </w:docVars>
  <w:rsids>
    <w:rsidRoot w:val="00D263AC"/>
    <w:rsid w:val="0002752C"/>
    <w:rsid w:val="0006213E"/>
    <w:rsid w:val="000C6BBE"/>
    <w:rsid w:val="000D27F5"/>
    <w:rsid w:val="001504CF"/>
    <w:rsid w:val="001C3DD6"/>
    <w:rsid w:val="001E1C1B"/>
    <w:rsid w:val="00206F6E"/>
    <w:rsid w:val="00270ECD"/>
    <w:rsid w:val="002C3DFF"/>
    <w:rsid w:val="0035069B"/>
    <w:rsid w:val="003B7B62"/>
    <w:rsid w:val="003C6D52"/>
    <w:rsid w:val="004145F3"/>
    <w:rsid w:val="004154CE"/>
    <w:rsid w:val="0042367E"/>
    <w:rsid w:val="00493296"/>
    <w:rsid w:val="00553958"/>
    <w:rsid w:val="005B539E"/>
    <w:rsid w:val="005B6802"/>
    <w:rsid w:val="00601688"/>
    <w:rsid w:val="006A75B1"/>
    <w:rsid w:val="00737295"/>
    <w:rsid w:val="007379AA"/>
    <w:rsid w:val="00864ED1"/>
    <w:rsid w:val="00877D5A"/>
    <w:rsid w:val="008C2A3C"/>
    <w:rsid w:val="008F64D8"/>
    <w:rsid w:val="00906DF3"/>
    <w:rsid w:val="00927270"/>
    <w:rsid w:val="009328F2"/>
    <w:rsid w:val="009D274A"/>
    <w:rsid w:val="009E7EB0"/>
    <w:rsid w:val="00A16BB7"/>
    <w:rsid w:val="00B64BE0"/>
    <w:rsid w:val="00B76A48"/>
    <w:rsid w:val="00C1168B"/>
    <w:rsid w:val="00C12B50"/>
    <w:rsid w:val="00C372AF"/>
    <w:rsid w:val="00C71E7E"/>
    <w:rsid w:val="00CB1A08"/>
    <w:rsid w:val="00CE060B"/>
    <w:rsid w:val="00D04092"/>
    <w:rsid w:val="00D126F2"/>
    <w:rsid w:val="00D263AC"/>
    <w:rsid w:val="00DF720B"/>
    <w:rsid w:val="00E04EBC"/>
    <w:rsid w:val="00E331FE"/>
    <w:rsid w:val="00E36B08"/>
    <w:rsid w:val="00E77581"/>
    <w:rsid w:val="00EE2F01"/>
    <w:rsid w:val="00EE730D"/>
    <w:rsid w:val="00F16D8C"/>
    <w:rsid w:val="00F22D1A"/>
    <w:rsid w:val="00F76D2B"/>
    <w:rsid w:val="00FC28A6"/>
    <w:rsid w:val="06081B47"/>
    <w:rsid w:val="08BA07D4"/>
    <w:rsid w:val="12136246"/>
    <w:rsid w:val="361D3D29"/>
    <w:rsid w:val="38547C16"/>
    <w:rsid w:val="3DCF4467"/>
    <w:rsid w:val="44964AAC"/>
    <w:rsid w:val="463E4D14"/>
    <w:rsid w:val="47B66DA0"/>
    <w:rsid w:val="4856518C"/>
    <w:rsid w:val="48B85E47"/>
    <w:rsid w:val="54AC7219"/>
    <w:rsid w:val="78C37FC6"/>
    <w:rsid w:val="79A419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5EE8C5"/>
  <w15:docId w15:val="{CF77AA2C-7AFB-4EEF-A2EB-4E1D23C6B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character" w:customStyle="1" w:styleId="a4">
    <w:name w:val="批注框文本 字符"/>
    <w:basedOn w:val="a0"/>
    <w:link w:val="a3"/>
    <w:uiPriority w:val="99"/>
    <w:semiHidden/>
    <w:rPr>
      <w:rFonts w:ascii="Times New Roman" w:eastAsia="宋体" w:hAnsi="Times New Roman" w:cs="Droid San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600" b="1" i="0" u="none" strike="noStrike" kern="1200" baseline="0">
                <a:solidFill>
                  <a:schemeClr val="tx1">
                    <a:lumMod val="65000"/>
                    <a:lumOff val="35000"/>
                  </a:schemeClr>
                </a:solidFill>
                <a:latin typeface="+mn-lt"/>
                <a:ea typeface="+mn-ea"/>
                <a:cs typeface="+mn-cs"/>
              </a:defRPr>
            </a:pPr>
            <a:r>
              <a:rPr lang="zh-CN" altLang="en-US"/>
              <a:t>收入预算</a:t>
            </a:r>
          </a:p>
        </c:rich>
      </c:tx>
      <c:overlay val="0"/>
      <c:spPr>
        <a:noFill/>
        <a:ln>
          <a:noFill/>
        </a:ln>
        <a:effectLst/>
      </c:spPr>
    </c:title>
    <c:autoTitleDeleted val="0"/>
    <c:plotArea>
      <c:layout/>
      <c:pieChart>
        <c:varyColors val="1"/>
        <c:ser>
          <c:idx val="0"/>
          <c:order val="0"/>
          <c:tx>
            <c:strRef>
              <c:f>Sheet1!$B$1</c:f>
              <c:strCache>
                <c:ptCount val="1"/>
                <c:pt idx="0">
                  <c:v>金额</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6353-44FA-B1FF-8DE42B6AB0BD}"/>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6353-44FA-B1FF-8DE42B6AB0BD}"/>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6353-44FA-B1FF-8DE42B6AB0BD}"/>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6353-44FA-B1FF-8DE42B6AB0BD}"/>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6353-44FA-B1FF-8DE42B6AB0BD}"/>
              </c:ext>
            </c:extLst>
          </c:dPt>
          <c:dLbls>
            <c:dLbl>
              <c:idx val="1"/>
              <c:layout>
                <c:manualLayout>
                  <c:x val="-0.13035174151430101"/>
                  <c:y val="6.3505815824714096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353-44FA-B1FF-8DE42B6AB0BD}"/>
                </c:ext>
              </c:extLst>
            </c:dLbl>
            <c:dLbl>
              <c:idx val="2"/>
              <c:layout>
                <c:manualLayout>
                  <c:x val="-0.166414262222288"/>
                  <c:y val="9.5260970132171798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353-44FA-B1FF-8DE42B6AB0BD}"/>
                </c:ext>
              </c:extLst>
            </c:dLbl>
            <c:dLbl>
              <c:idx val="3"/>
              <c:layout>
                <c:manualLayout>
                  <c:x val="-0.17562238969130001"/>
                  <c:y val="-4.4528845233953E-2"/>
                </c:manualLayout>
              </c:layout>
              <c:dLblPos val="bestFit"/>
              <c:showLegendKey val="0"/>
              <c:showVal val="0"/>
              <c:showCatName val="0"/>
              <c:showSerName val="0"/>
              <c:showPercent val="1"/>
              <c:showBubbleSize val="0"/>
              <c:extLst>
                <c:ext xmlns:c15="http://schemas.microsoft.com/office/drawing/2012/chart" uri="{CE6537A1-D6FC-4f65-9D91-7224C49458BB}">
                  <c15:layout>
                    <c:manualLayout>
                      <c:w val="9.64363111004094E-2"/>
                      <c:h val="4.4169246646026797E-2"/>
                    </c:manualLayout>
                  </c15:layout>
                </c:ext>
                <c:ext xmlns:c16="http://schemas.microsoft.com/office/drawing/2014/chart" uri="{C3380CC4-5D6E-409C-BE32-E72D297353CC}">
                  <c16:uniqueId val="{00000007-6353-44FA-B1FF-8DE42B6AB0BD}"/>
                </c:ext>
              </c:extLst>
            </c:dLbl>
            <c:dLbl>
              <c:idx val="4"/>
              <c:layout>
                <c:manualLayout>
                  <c:x val="-0.19830768127546899"/>
                  <c:y val="-9.6110687626065894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6353-44FA-B1FF-8DE42B6AB0BD}"/>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Sheet1!$A$2:$A$6</c:f>
              <c:strCache>
                <c:ptCount val="5"/>
                <c:pt idx="0">
                  <c:v>一般公共预算拨款收入</c:v>
                </c:pt>
                <c:pt idx="1">
                  <c:v>财政专户管理资金收入</c:v>
                </c:pt>
                <c:pt idx="2">
                  <c:v>事业收入</c:v>
                </c:pt>
                <c:pt idx="3">
                  <c:v>其他收入</c:v>
                </c:pt>
                <c:pt idx="4">
                  <c:v>上年结转结余</c:v>
                </c:pt>
              </c:strCache>
            </c:strRef>
          </c:cat>
          <c:val>
            <c:numRef>
              <c:f>Sheet1!$B$2:$B$6</c:f>
              <c:numCache>
                <c:formatCode>General</c:formatCode>
                <c:ptCount val="5"/>
                <c:pt idx="0">
                  <c:v>8594.42</c:v>
                </c:pt>
                <c:pt idx="1">
                  <c:v>300</c:v>
                </c:pt>
                <c:pt idx="2">
                  <c:v>150</c:v>
                </c:pt>
                <c:pt idx="3">
                  <c:v>10</c:v>
                </c:pt>
                <c:pt idx="4">
                  <c:v>201.96</c:v>
                </c:pt>
              </c:numCache>
            </c:numRef>
          </c:val>
          <c:extLst>
            <c:ext xmlns:c16="http://schemas.microsoft.com/office/drawing/2014/chart" uri="{C3380CC4-5D6E-409C-BE32-E72D297353CC}">
              <c16:uniqueId val="{0000000A-6353-44FA-B1FF-8DE42B6AB0BD}"/>
            </c:ext>
          </c:extLst>
        </c:ser>
        <c:dLbls>
          <c:showLegendKey val="0"/>
          <c:showVal val="1"/>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基本支出和项目支出情况</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173-490D-8145-D39F9D9D18C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173-490D-8145-D39F9D9D18C4}"/>
              </c:ext>
            </c:extLst>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Sheet1!$A$2:$A$3</c:f>
              <c:strCache>
                <c:ptCount val="2"/>
                <c:pt idx="0">
                  <c:v>基本支出</c:v>
                </c:pt>
                <c:pt idx="1">
                  <c:v>项目支出</c:v>
                </c:pt>
              </c:strCache>
            </c:strRef>
          </c:cat>
          <c:val>
            <c:numRef>
              <c:f>Sheet1!$C$2:$C$3</c:f>
              <c:numCache>
                <c:formatCode>0.00%</c:formatCode>
                <c:ptCount val="2"/>
                <c:pt idx="0">
                  <c:v>0.81874447678249995</c:v>
                </c:pt>
                <c:pt idx="1">
                  <c:v>0.18125552321749999</c:v>
                </c:pt>
              </c:numCache>
            </c:numRef>
          </c:val>
          <c:extLst>
            <c:ext xmlns:c15="http://schemas.microsoft.com/office/drawing/2012/chart" uri="{02D57815-91ED-43cb-92C2-25804820EDAC}">
              <c15:filteredSeriesTitle>
                <c15:tx>
                  <c:strRef>
                    <c:extLst>
                      <c:ext uri="{02D57815-91ED-43cb-92C2-25804820EDAC}">
                        <c15:formulaRef>
                          <c15:sqref>Sheet1!$C$1</c15:sqref>
                        </c15:formulaRef>
                      </c:ext>
                    </c:extLst>
                    <c:strCache>
                      <c:ptCount val="1"/>
                      <c:pt idx="0">
                        <c:v>占比</c:v>
                      </c:pt>
                    </c:strCache>
                  </c:strRef>
                </c15:tx>
              </c15:filteredSeriesTitle>
            </c:ext>
            <c:ext xmlns:c16="http://schemas.microsoft.com/office/drawing/2014/chart" uri="{C3380CC4-5D6E-409C-BE32-E72D297353CC}">
              <c16:uniqueId val="{00000004-7173-490D-8145-D39F9D9D18C4}"/>
            </c:ext>
          </c:extLst>
        </c:ser>
        <c:dLbls>
          <c:showLegendKey val="0"/>
          <c:showVal val="1"/>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406</Words>
  <Characters>2318</Characters>
  <Application>Microsoft Office Word</Application>
  <DocSecurity>0</DocSecurity>
  <Lines>19</Lines>
  <Paragraphs>5</Paragraphs>
  <ScaleCrop>false</ScaleCrop>
  <Company>Microsoft</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14</cp:revision>
  <dcterms:created xsi:type="dcterms:W3CDTF">2023-02-16T06:42:00Z</dcterms:created>
  <dcterms:modified xsi:type="dcterms:W3CDTF">2023-03-08T03:24:00Z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0E439BA424974AF5A54300AC0E9B24CA</vt:lpwstr>
  </property>
</Properties>
</file>