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51AF6">
      <w:pPr>
        <w:spacing w:line="560" w:lineRule="exact"/>
        <w:jc w:val="center"/>
        <w:rPr>
          <w:rFonts w:ascii="方正小标宋简体" w:eastAsia="方正小标宋简体"/>
          <w:color w:val="000000"/>
          <w:sz w:val="36"/>
          <w:szCs w:val="36"/>
        </w:rPr>
      </w:pPr>
      <w:bookmarkStart w:id="0" w:name="_GoBack"/>
      <w:bookmarkEnd w:id="0"/>
      <w:r>
        <w:rPr>
          <w:rFonts w:hint="eastAsia" w:ascii="方正小标宋简体" w:eastAsia="方正小标宋简体"/>
          <w:color w:val="000000"/>
          <w:sz w:val="36"/>
          <w:szCs w:val="36"/>
        </w:rPr>
        <w:t>北京信息科技大学2023年财政预算信息公开</w:t>
      </w:r>
    </w:p>
    <w:p w14:paraId="70982D06">
      <w:pPr>
        <w:spacing w:line="240" w:lineRule="exact"/>
        <w:jc w:val="center"/>
        <w:rPr>
          <w:rFonts w:ascii="方正小标宋简体" w:eastAsia="方正小标宋简体"/>
          <w:color w:val="000000"/>
          <w:sz w:val="32"/>
          <w:szCs w:val="32"/>
        </w:rPr>
      </w:pPr>
    </w:p>
    <w:p w14:paraId="19044155">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534B20FC">
      <w:pPr>
        <w:spacing w:line="240" w:lineRule="exact"/>
        <w:jc w:val="center"/>
        <w:rPr>
          <w:rFonts w:ascii="方正小标宋简体" w:eastAsia="方正小标宋简体"/>
          <w:color w:val="000000"/>
          <w:sz w:val="32"/>
          <w:szCs w:val="32"/>
        </w:rPr>
      </w:pPr>
    </w:p>
    <w:p w14:paraId="043D4BDA">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2023年度单位预算情况说明</w:t>
      </w:r>
    </w:p>
    <w:p w14:paraId="3E9397AD">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一、单位情况说明</w:t>
      </w:r>
    </w:p>
    <w:p w14:paraId="3F2EAB81">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14:paraId="7C763DAA">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14:paraId="5F289FBD">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14:paraId="3484EE9A">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6AC254B9">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3C3921B0">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2023年度单位预算报表</w:t>
      </w:r>
    </w:p>
    <w:p w14:paraId="76CE26AA">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一、收支总表</w:t>
      </w:r>
    </w:p>
    <w:p w14:paraId="5DAE3DC5">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二、收入总表</w:t>
      </w:r>
    </w:p>
    <w:p w14:paraId="00848BB5">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三、支出总表</w:t>
      </w:r>
    </w:p>
    <w:p w14:paraId="77F049C2">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四、项目支出表</w:t>
      </w:r>
    </w:p>
    <w:p w14:paraId="584AA1B8">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五、政府采购预算明细表</w:t>
      </w:r>
    </w:p>
    <w:p w14:paraId="422AFA2B">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六、财政拨款收支总表</w:t>
      </w:r>
    </w:p>
    <w:p w14:paraId="05CC13CC">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七、一般公共预算财政拨款支出表</w:t>
      </w:r>
    </w:p>
    <w:p w14:paraId="01203A3A">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八、一般公共预算财政拨款基本支出表</w:t>
      </w:r>
    </w:p>
    <w:p w14:paraId="4C6670A0">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九、政府性基金预算财政拨款支出表</w:t>
      </w:r>
    </w:p>
    <w:p w14:paraId="10FB94C1">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十、国有资本经营预算财政拨款支出表</w:t>
      </w:r>
    </w:p>
    <w:p w14:paraId="1E865AE6">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十一、财政拨款“三公”经费支出表</w:t>
      </w:r>
    </w:p>
    <w:p w14:paraId="2359F888">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十二、政府购买服务预算财政拨款明细表</w:t>
      </w:r>
    </w:p>
    <w:p w14:paraId="4DA03E1D">
      <w:pPr>
        <w:spacing w:line="560" w:lineRule="exact"/>
        <w:ind w:firstLine="640" w:firstLineChars="200"/>
        <w:rPr>
          <w:rFonts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十三、项目支出绩效目标表</w:t>
      </w:r>
    </w:p>
    <w:p w14:paraId="0A34BAA7">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第一部分 2023年度单位预算情况说明</w:t>
      </w:r>
    </w:p>
    <w:p w14:paraId="23E96014">
      <w:pPr>
        <w:spacing w:line="560" w:lineRule="exact"/>
        <w:ind w:firstLine="640" w:firstLineChars="200"/>
        <w:rPr>
          <w:rFonts w:ascii="黑体" w:eastAsia="黑体"/>
          <w:color w:val="000000"/>
          <w:sz w:val="32"/>
          <w:szCs w:val="32"/>
        </w:rPr>
      </w:pPr>
    </w:p>
    <w:p w14:paraId="4B1796B6">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14:paraId="62FDADD7">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14:paraId="3902F642">
      <w:pPr>
        <w:spacing w:line="560" w:lineRule="exact"/>
        <w:ind w:firstLine="640" w:firstLineChars="200"/>
        <w:rPr>
          <w:rFonts w:ascii="仿宋_GB2312" w:eastAsia="仿宋_GB2312"/>
          <w:sz w:val="32"/>
          <w:szCs w:val="32"/>
        </w:rPr>
      </w:pPr>
      <w:r>
        <w:rPr>
          <w:rFonts w:hint="eastAsia" w:ascii="仿宋_GB2312" w:eastAsia="仿宋_GB2312"/>
          <w:sz w:val="32"/>
          <w:szCs w:val="32"/>
        </w:rPr>
        <w:t>北京信息科技大学为公益二类事业单位；主要职责为：学校坚持社会主义办学方向，贯彻落实党的教育方针政策，坚持育人为本、德育为先、能力为重、全面发展，培养高等学历工、管、经、理、文、法人才，全面提高教育教学质量，提升人才培养水平，增强科学研究能力，服务经济社会发展，推进文化传承创新，促进学术交流。</w:t>
      </w:r>
    </w:p>
    <w:p w14:paraId="41AE240F">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14:paraId="50AA245F">
      <w:pPr>
        <w:spacing w:line="560" w:lineRule="exact"/>
        <w:ind w:firstLine="640" w:firstLineChars="200"/>
        <w:rPr>
          <w:rFonts w:ascii="仿宋_GB2312" w:eastAsia="仿宋_GB2312"/>
          <w:sz w:val="32"/>
          <w:szCs w:val="32"/>
        </w:rPr>
      </w:pPr>
      <w:r>
        <w:rPr>
          <w:rFonts w:hint="eastAsia" w:ascii="仿宋_GB2312" w:eastAsia="仿宋_GB2312"/>
          <w:sz w:val="32"/>
          <w:szCs w:val="32"/>
        </w:rPr>
        <w:t>学校内设机构5</w:t>
      </w:r>
      <w:r>
        <w:rPr>
          <w:rFonts w:ascii="仿宋_GB2312" w:eastAsia="仿宋_GB2312"/>
          <w:sz w:val="32"/>
          <w:szCs w:val="32"/>
        </w:rPr>
        <w:t>0</w:t>
      </w:r>
      <w:r>
        <w:rPr>
          <w:rFonts w:hint="eastAsia" w:ascii="仿宋_GB2312" w:eastAsia="仿宋_GB2312"/>
          <w:sz w:val="32"/>
          <w:szCs w:val="32"/>
        </w:rPr>
        <w:t>个。其中教学单位14个，分别为：机电工程学院、仪器科学与光电工程学院、自动化学院、信息与通信工程学院、计算机学院、经济管理学院、信息管理学院、马克思主义学院、公共管理与传媒学院、外国语学院、理学院、继续教育学院/应用技术学院、国际交流学院、体育部。党政管理部门、直属机构和群团组织36个，分别为:党委办公室/校长办公室/巡察办公室、党委组织部（党校）、党委宣传部/新闻中心、党委统战部、纪委办公室、教务处、科技处、研究生院/党委研究生工作部/学位委员会办公室、人事处/党委教师工作部/人才工作办公室、发展战略与规划处/高教研究室、财务处、资产管理处/实验室管理处、党委学生工作部（武装部）/学生处、招生就业工作处、国际交流合作处/学校港澳台事务办公室、审计处、后勤管理处、基建处/新校区建设办公室、党委安全稳定工作部/安全稳定处、党委老干部工作部/离退休工作处、学校保密工作办公室、图书馆/档案馆（校史馆）、信息与网络管理中心、对外联络办公室/校友工作办公室、美育（艺术）教育中心、产业与经营性资产管理办公室、国防科技研究院、校医院、新校区招投标办公室、新校区管理委员会办公室、校区管理办公室、校工会、校团委、机关党委、离退休党委、后勤党总支。</w:t>
      </w:r>
    </w:p>
    <w:p w14:paraId="2A4230F2">
      <w:pPr>
        <w:spacing w:line="560" w:lineRule="exact"/>
        <w:ind w:firstLine="640" w:firstLineChars="200"/>
        <w:rPr>
          <w:rFonts w:ascii="仿宋_GB2312" w:eastAsia="仿宋_GB2312"/>
          <w:sz w:val="32"/>
          <w:szCs w:val="32"/>
        </w:rPr>
      </w:pPr>
      <w:r>
        <w:rPr>
          <w:rFonts w:hint="eastAsia" w:ascii="仿宋_GB2312" w:eastAsia="仿宋_GB2312"/>
          <w:sz w:val="32"/>
          <w:szCs w:val="32"/>
        </w:rPr>
        <w:t>北京信息科技大学包括1个预算单位，即北京信息科技大学（本级）。</w:t>
      </w:r>
    </w:p>
    <w:p w14:paraId="485C84FC">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14:paraId="2066A5EB">
      <w:pPr>
        <w:spacing w:line="560" w:lineRule="exact"/>
        <w:ind w:firstLine="640" w:firstLineChars="200"/>
        <w:rPr>
          <w:rFonts w:ascii="仿宋_GB2312" w:eastAsia="仿宋_GB2312"/>
          <w:sz w:val="32"/>
          <w:szCs w:val="32"/>
        </w:rPr>
      </w:pPr>
      <w:r>
        <w:rPr>
          <w:rFonts w:hint="eastAsia" w:ascii="仿宋_GB2312" w:eastAsia="仿宋_GB2312"/>
          <w:sz w:val="32"/>
          <w:szCs w:val="32"/>
        </w:rPr>
        <w:t>北京信息科技大学行政编制0人，实有人数0人；事业编制1675人，实有人数1652人；离休人员21人，退休人员1190人；学生人数15779人；其他人员无。</w:t>
      </w:r>
    </w:p>
    <w:p w14:paraId="1CF7F134">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14:paraId="34375637">
      <w:pPr>
        <w:spacing w:line="560" w:lineRule="exact"/>
        <w:ind w:firstLine="640" w:firstLineChars="200"/>
        <w:rPr>
          <w:rFonts w:ascii="仿宋_GB2312" w:eastAsia="仿宋_GB2312"/>
          <w:sz w:val="32"/>
          <w:szCs w:val="32"/>
        </w:rPr>
      </w:pPr>
      <w:r>
        <w:rPr>
          <w:rFonts w:hint="eastAsia" w:ascii="仿宋_GB2312" w:eastAsia="仿宋_GB2312"/>
          <w:sz w:val="32"/>
          <w:szCs w:val="32"/>
        </w:rPr>
        <w:t>2023年收入预算189028.18万元，比2022年年初预算数135659.93万元，增加53368.25万元，增长39.34%。主要原因：一是因学生人数增长，运转经费有所增加；二是根据事业发展规划调整项目安排。</w:t>
      </w:r>
    </w:p>
    <w:p w14:paraId="1A0A4218">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（一）本年财政拨款收入145192.34万元</w:t>
      </w:r>
    </w:p>
    <w:p w14:paraId="169658C8">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1.一般公共预算拨款收入145157.34万元。</w:t>
      </w:r>
    </w:p>
    <w:p w14:paraId="20D89DC4">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2.政府性基金预算拨款收入35.00万元。</w:t>
      </w:r>
    </w:p>
    <w:p w14:paraId="31292904">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3.国有资本经营预算拨款收入0.00万元。</w:t>
      </w:r>
    </w:p>
    <w:p w14:paraId="13175CDE">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（二）本年其他资金收入22808.35万元</w:t>
      </w:r>
    </w:p>
    <w:p w14:paraId="02525F08">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4.财政专户管理资金收入10569.61万元。</w:t>
      </w:r>
    </w:p>
    <w:p w14:paraId="2D147A18">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5.事业收入11139.24万元。</w:t>
      </w:r>
    </w:p>
    <w:p w14:paraId="059CA971">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6.上级补助收入0.00万元。</w:t>
      </w:r>
    </w:p>
    <w:p w14:paraId="661CF970">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7.附属单位上缴收入0.00万元。</w:t>
      </w:r>
    </w:p>
    <w:p w14:paraId="009A3008">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8.事业单位经营收入0.00万元。</w:t>
      </w:r>
    </w:p>
    <w:p w14:paraId="36315D6D">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9.其他收入1099.50万元。</w:t>
      </w:r>
    </w:p>
    <w:p w14:paraId="1ED9F31F">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（三）上年结转结余21027.49万元</w:t>
      </w:r>
    </w:p>
    <w:p w14:paraId="2A50A702">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10.上年结转结余21027.49万元。</w:t>
      </w:r>
    </w:p>
    <w:p w14:paraId="7323BAC9">
      <w:pPr>
        <w:spacing w:line="560" w:lineRule="exact"/>
        <w:jc w:val="center"/>
        <w:rPr>
          <w:rFonts w:ascii="仿宋_GB2312" w:eastAsia="仿宋_GB2312"/>
          <w:sz w:val="32"/>
          <w:szCs w:val="32"/>
        </w:rPr>
      </w:pPr>
      <w:r>
        <w:rPr>
          <w:rFonts w:hint="eastAsia" w:ascii="仿宋_GB2312" w:eastAsia="仿宋_GB2312"/>
          <w:sz w:val="32"/>
        </w:rPr>
        <w:t>图1：收入预算</w:t>
      </w:r>
    </w:p>
    <w:p w14:paraId="3CC1A0AA">
      <w:pPr>
        <w:pStyle w:val="2"/>
        <w:jc w:val="center"/>
      </w:pPr>
      <w:r>
        <w:drawing>
          <wp:inline distT="0" distB="0" distL="0" distR="0">
            <wp:extent cx="4597400" cy="2767965"/>
            <wp:effectExtent l="0" t="0" r="12700" b="1333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t xml:space="preserve"> </w:t>
      </w:r>
    </w:p>
    <w:p w14:paraId="6B3D661C">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14:paraId="2D831D89">
      <w:pPr>
        <w:spacing w:line="560" w:lineRule="exact"/>
        <w:ind w:firstLine="640" w:firstLineChars="200"/>
        <w:rPr>
          <w:rFonts w:ascii="仿宋_GB2312" w:eastAsia="仿宋_GB2312"/>
          <w:sz w:val="32"/>
          <w:szCs w:val="32"/>
        </w:rPr>
      </w:pPr>
      <w:r>
        <w:rPr>
          <w:rFonts w:hint="eastAsia" w:ascii="仿宋_GB2312" w:eastAsia="仿宋_GB2312"/>
          <w:sz w:val="32"/>
          <w:szCs w:val="32"/>
        </w:rPr>
        <w:t>2023年支出预算189028.18万元，比2022年年初预算数135659.93万元，增加53368.25万元，增长39.34%。主要原因：一是因学生人数增长，运转经费有所增加；二是根据事业发展规划调整项目安排。</w:t>
      </w:r>
    </w:p>
    <w:p w14:paraId="1A10D0D6">
      <w:pPr>
        <w:spacing w:line="56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（一）基本支出</w:t>
      </w:r>
    </w:p>
    <w:p w14:paraId="122860D6">
      <w:pPr>
        <w:spacing w:line="560" w:lineRule="exact"/>
        <w:ind w:firstLine="640" w:firstLineChars="200"/>
        <w:rPr>
          <w:rFonts w:ascii="仿宋_GB2312" w:eastAsia="仿宋_GB2312"/>
          <w:sz w:val="32"/>
          <w:szCs w:val="32"/>
        </w:rPr>
      </w:pPr>
      <w:r>
        <w:rPr>
          <w:rFonts w:hint="eastAsia" w:ascii="仿宋_GB2312" w:eastAsia="仿宋_GB2312"/>
          <w:sz w:val="32"/>
          <w:szCs w:val="32"/>
        </w:rPr>
        <w:t>基本支出预算111145.61万元，占总支出预算58.80%，比2022年年初预算数108871.66万元增加2273.95万元，增长2.09%。</w:t>
      </w:r>
    </w:p>
    <w:p w14:paraId="3217A2F9">
      <w:pPr>
        <w:spacing w:line="56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（二）项目支出</w:t>
      </w:r>
    </w:p>
    <w:p w14:paraId="4FD3EAE5">
      <w:pPr>
        <w:spacing w:line="560" w:lineRule="exact"/>
        <w:ind w:firstLine="640" w:firstLineChars="200"/>
        <w:rPr>
          <w:rFonts w:ascii="仿宋_GB2312" w:eastAsia="仿宋_GB2312"/>
          <w:sz w:val="32"/>
          <w:szCs w:val="32"/>
        </w:rPr>
      </w:pPr>
      <w:r>
        <w:rPr>
          <w:rFonts w:hint="eastAsia" w:ascii="仿宋_GB2312" w:eastAsia="仿宋_GB2312"/>
          <w:sz w:val="32"/>
          <w:szCs w:val="32"/>
        </w:rPr>
        <w:t>项目支出预算77882.57万元，比2022年年初预算26788.27万元增加51094.30万元，增长190.73%。其中：</w:t>
      </w:r>
    </w:p>
    <w:p w14:paraId="0FE73520">
      <w:pPr>
        <w:spacing w:line="560" w:lineRule="exact"/>
        <w:ind w:firstLine="640" w:firstLineChars="200"/>
        <w:rPr>
          <w:rFonts w:ascii="仿宋_GB2312" w:eastAsia="仿宋_GB2312"/>
          <w:sz w:val="32"/>
          <w:szCs w:val="32"/>
        </w:rPr>
      </w:pPr>
      <w:r>
        <w:rPr>
          <w:rFonts w:hint="eastAsia" w:ascii="仿宋_GB2312" w:eastAsia="仿宋_GB2312"/>
          <w:sz w:val="32"/>
          <w:szCs w:val="32"/>
        </w:rPr>
        <w:t>1.事业单位经营支出0.00万元。</w:t>
      </w:r>
    </w:p>
    <w:p w14:paraId="33EDCF9D">
      <w:pPr>
        <w:spacing w:line="560" w:lineRule="exact"/>
        <w:ind w:firstLine="640" w:firstLineChars="200"/>
        <w:rPr>
          <w:rFonts w:ascii="仿宋_GB2312" w:eastAsia="仿宋_GB2312"/>
          <w:sz w:val="32"/>
          <w:szCs w:val="32"/>
        </w:rPr>
      </w:pPr>
      <w:r>
        <w:rPr>
          <w:rFonts w:hint="eastAsia" w:ascii="仿宋_GB2312" w:eastAsia="仿宋_GB2312"/>
          <w:sz w:val="32"/>
          <w:szCs w:val="32"/>
        </w:rPr>
        <w:t>2.上缴上级支出0.00万元。</w:t>
      </w:r>
    </w:p>
    <w:p w14:paraId="45427C59">
      <w:pPr>
        <w:spacing w:line="560" w:lineRule="exact"/>
        <w:ind w:firstLine="640" w:firstLineChars="200"/>
        <w:rPr>
          <w:rFonts w:ascii="仿宋_GB2312" w:eastAsia="仿宋_GB2312"/>
          <w:sz w:val="32"/>
          <w:szCs w:val="32"/>
        </w:rPr>
      </w:pPr>
      <w:r>
        <w:rPr>
          <w:rFonts w:hint="eastAsia" w:ascii="仿宋_GB2312" w:eastAsia="仿宋_GB2312"/>
          <w:sz w:val="32"/>
          <w:szCs w:val="32"/>
        </w:rPr>
        <w:t>3.对附属单位补助支出0.00万元。</w:t>
      </w:r>
    </w:p>
    <w:p w14:paraId="22A932A8">
      <w:pPr>
        <w:pStyle w:val="2"/>
        <w:ind w:firstLine="642"/>
        <w:jc w:val="center"/>
      </w:pPr>
      <w:r>
        <w:rPr>
          <w:rFonts w:hint="eastAsia" w:ascii="仿宋_GB2312" w:eastAsia="仿宋_GB2312"/>
          <w:sz w:val="32"/>
        </w:rPr>
        <w:t>图2：基本支出和项目支出情况</w:t>
      </w:r>
    </w:p>
    <w:p w14:paraId="50092614">
      <w:pPr>
        <w:pStyle w:val="2"/>
        <w:jc w:val="center"/>
      </w:pPr>
      <w:r>
        <w:drawing>
          <wp:inline distT="0" distB="0" distL="0" distR="0">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A06BF4F">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14:paraId="3FE5FEB5">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14:paraId="75694AC1">
      <w:pPr>
        <w:spacing w:line="560" w:lineRule="exact"/>
        <w:ind w:firstLine="640" w:firstLineChars="200"/>
        <w:rPr>
          <w:rFonts w:ascii="仿宋_GB2312" w:eastAsia="仿宋_GB2312"/>
          <w:sz w:val="32"/>
          <w:szCs w:val="32"/>
        </w:rPr>
      </w:pPr>
      <w:r>
        <w:rPr>
          <w:rFonts w:hint="eastAsia" w:ascii="仿宋_GB2312" w:eastAsia="仿宋_GB2312"/>
          <w:sz w:val="32"/>
          <w:szCs w:val="32"/>
        </w:rPr>
        <w:t>北京信息科技大学因公出国（境）费用、公务接待费、公务用车购置和运行维护费开支单位包括1个所属单位。其他所属单位2023年无财政拨款安排的“三公”经费预算。</w:t>
      </w:r>
    </w:p>
    <w:p w14:paraId="6365C89F">
      <w:pPr>
        <w:spacing w:line="560" w:lineRule="exact"/>
        <w:ind w:firstLine="640" w:firstLineChars="200"/>
        <w:rPr>
          <w:rFonts w:ascii="楷体_GB2312" w:eastAsia="楷体_GB2312"/>
          <w:sz w:val="32"/>
          <w:szCs w:val="32"/>
        </w:rPr>
      </w:pPr>
      <w:r>
        <w:rPr>
          <w:rFonts w:hint="eastAsia" w:ascii="楷体_GB2312" w:eastAsia="楷体_GB2312"/>
          <w:sz w:val="32"/>
          <w:szCs w:val="32"/>
        </w:rPr>
        <w:t>（二）财政拨款“三公”经费预算情况说明</w:t>
      </w:r>
    </w:p>
    <w:p w14:paraId="52CE5500">
      <w:pPr>
        <w:spacing w:line="560" w:lineRule="exact"/>
        <w:ind w:firstLine="640" w:firstLineChars="2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sz w:val="32"/>
          <w:szCs w:val="32"/>
          <w:lang w:eastAsia="zh-CN"/>
        </w:rPr>
        <w:t>“三公”经费</w:t>
      </w:r>
      <w:r>
        <w:rPr>
          <w:rFonts w:hint="eastAsia" w:ascii="仿宋_GB2312" w:eastAsia="仿宋_GB2312"/>
          <w:sz w:val="32"/>
          <w:szCs w:val="32"/>
        </w:rPr>
        <w:t>财政拨款预算11.97万元，比2022年</w:t>
      </w:r>
      <w:r>
        <w:rPr>
          <w:rFonts w:hint="eastAsia" w:ascii="仿宋_GB2312" w:eastAsia="仿宋_GB2312"/>
          <w:sz w:val="32"/>
          <w:szCs w:val="32"/>
          <w:lang w:eastAsia="zh-CN"/>
        </w:rPr>
        <w:t>“三公”经费</w:t>
      </w:r>
      <w:r>
        <w:rPr>
          <w:rFonts w:hint="eastAsia" w:ascii="仿宋_GB2312" w:eastAsia="仿宋_GB2312"/>
          <w:sz w:val="32"/>
          <w:szCs w:val="32"/>
        </w:rPr>
        <w:t>财政拨款预算减少0.63万元。其中：</w:t>
      </w:r>
    </w:p>
    <w:p w14:paraId="509FC7A7">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1.因公出国（境）费用。2023年预算数0.00万元，与2022年持平。</w:t>
      </w:r>
    </w:p>
    <w:p w14:paraId="1CBB25AA">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2.公务接待费。2023年预算数0.00万元，与2022年持平。</w:t>
      </w:r>
    </w:p>
    <w:p w14:paraId="52A0B5FC">
      <w:pPr>
        <w:spacing w:line="560" w:lineRule="exact"/>
        <w:ind w:firstLine="640" w:firstLineChars="200"/>
        <w:rPr>
          <w:rFonts w:ascii="仿宋_GB2312" w:eastAsia="仿宋_GB2312"/>
          <w:sz w:val="32"/>
          <w:szCs w:val="32"/>
        </w:rPr>
      </w:pPr>
      <w:r>
        <w:rPr>
          <w:rFonts w:hint="eastAsia" w:ascii="仿宋_GB2312" w:eastAsia="仿宋_GB2312"/>
          <w:sz w:val="32"/>
          <w:szCs w:val="32"/>
        </w:rPr>
        <w:t>3.公务用车购置和运行维护费。2023年预算数11.97万元，其中，公务用车购置费2023年预算数0.00万元，与2022年预算数持平；公务用车运行维护费2023年预算数11.97万元，其中：公务用车燃油8.47万元，公务用车维修2.00万元，公务用车保险1.00万元，其他支出0.50万元。比2022年初预算数12.60万元减少0.63万元，主要原因为学校落实政府“过紧日子”要求，加强公务用车运行管理，运行费用减少。</w:t>
      </w:r>
    </w:p>
    <w:p w14:paraId="7A726C78">
      <w:pPr>
        <w:spacing w:line="560" w:lineRule="exact"/>
        <w:ind w:firstLine="640" w:firstLineChars="200"/>
        <w:rPr>
          <w:rFonts w:ascii="黑体" w:eastAsia="黑体"/>
          <w:sz w:val="32"/>
          <w:szCs w:val="32"/>
        </w:rPr>
      </w:pPr>
      <w:r>
        <w:rPr>
          <w:rFonts w:hint="eastAsia" w:ascii="黑体" w:eastAsia="黑体"/>
          <w:sz w:val="32"/>
          <w:szCs w:val="32"/>
        </w:rPr>
        <w:t>五、其他情况说明</w:t>
      </w:r>
    </w:p>
    <w:p w14:paraId="12B83554">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14:paraId="3FE28333">
      <w:pPr>
        <w:spacing w:line="560" w:lineRule="exact"/>
        <w:ind w:firstLine="640" w:firstLineChars="200"/>
        <w:rPr>
          <w:rFonts w:ascii="仿宋_GB2312" w:eastAsia="仿宋_GB2312"/>
          <w:sz w:val="32"/>
          <w:szCs w:val="32"/>
        </w:rPr>
      </w:pPr>
      <w:r>
        <w:rPr>
          <w:rFonts w:hint="eastAsia" w:ascii="仿宋_GB2312" w:eastAsia="仿宋_GB2312"/>
          <w:sz w:val="32"/>
          <w:szCs w:val="32"/>
        </w:rPr>
        <w:t>2023年北京信息科技大学政府采购预算总额63419.05万元，其中：政府采购货物预算7421.64万元，政府采购工程预算50675.75万元，政府采购服务预算5321.66万元。</w:t>
      </w:r>
    </w:p>
    <w:p w14:paraId="6FD01164">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14:paraId="1C382FAD">
      <w:pPr>
        <w:spacing w:line="560" w:lineRule="exact"/>
        <w:ind w:firstLine="640" w:firstLineChars="200"/>
        <w:rPr>
          <w:rFonts w:ascii="仿宋_GB2312" w:eastAsia="仿宋_GB2312"/>
          <w:sz w:val="32"/>
          <w:szCs w:val="32"/>
        </w:rPr>
      </w:pPr>
      <w:r>
        <w:rPr>
          <w:rFonts w:hint="eastAsia" w:ascii="仿宋_GB2312" w:eastAsia="仿宋_GB2312"/>
          <w:sz w:val="32"/>
          <w:szCs w:val="32"/>
        </w:rPr>
        <w:t>2023年北京信息科技大学政府购买服务预算总额0.00万元。</w:t>
      </w:r>
    </w:p>
    <w:p w14:paraId="3289CD8D">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14:paraId="6B9F5B8F">
      <w:pPr>
        <w:spacing w:line="560" w:lineRule="exact"/>
        <w:ind w:firstLine="640" w:firstLineChars="200"/>
        <w:rPr>
          <w:rFonts w:ascii="仿宋_GB2312" w:eastAsia="仿宋_GB2312"/>
          <w:sz w:val="32"/>
          <w:szCs w:val="32"/>
        </w:rPr>
      </w:pPr>
      <w:r>
        <w:rPr>
          <w:rFonts w:hint="eastAsia" w:ascii="仿宋_GB2312" w:eastAsia="仿宋_GB2312"/>
          <w:sz w:val="32"/>
          <w:szCs w:val="32"/>
        </w:rPr>
        <w:t>我单位不在机关运行经费统计范围之内。</w:t>
      </w:r>
    </w:p>
    <w:p w14:paraId="5B8865C6">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14:paraId="1AB53B44">
      <w:pPr>
        <w:spacing w:line="560" w:lineRule="exact"/>
        <w:ind w:firstLine="640" w:firstLineChars="200"/>
        <w:rPr>
          <w:rFonts w:ascii="仿宋_GB2312" w:eastAsia="仿宋_GB2312"/>
          <w:sz w:val="32"/>
          <w:szCs w:val="32"/>
        </w:rPr>
      </w:pPr>
      <w:r>
        <w:rPr>
          <w:rFonts w:hint="eastAsia" w:ascii="仿宋_GB2312" w:eastAsia="仿宋_GB2312"/>
          <w:sz w:val="32"/>
          <w:szCs w:val="32"/>
        </w:rPr>
        <w:t>2023年，北京信息科技大学填报绩效目标的预算项目28个，占全部预算项目28个的100%。填报绩效目标的项目支出预算63595.14万元，占本部门全部项目支出预算的100%。</w:t>
      </w:r>
    </w:p>
    <w:p w14:paraId="35AF6D7B">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14:paraId="2607CFFE">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本单位2023年无重点行政事业性收费。 </w:t>
      </w:r>
    </w:p>
    <w:p w14:paraId="14C3019E">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14:paraId="1821C2AC">
      <w:pPr>
        <w:ind w:firstLine="600"/>
        <w:rPr>
          <w:rFonts w:ascii="Arial" w:hAnsi="Arial" w:cs="Arial"/>
          <w:kern w:val="0"/>
          <w:sz w:val="32"/>
          <w:szCs w:val="32"/>
        </w:rPr>
      </w:pPr>
      <w:r>
        <w:rPr>
          <w:rFonts w:hint="eastAsia" w:ascii="仿宋_GB2312" w:eastAsia="仿宋_GB2312"/>
          <w:sz w:val="32"/>
          <w:szCs w:val="32"/>
        </w:rPr>
        <w:t xml:space="preserve">本单位2023年无国有资本经营预算财政拨款安排的预算。 </w:t>
      </w:r>
    </w:p>
    <w:p w14:paraId="623603C5">
      <w:pPr>
        <w:spacing w:line="560" w:lineRule="exact"/>
        <w:ind w:firstLine="640" w:firstLineChars="200"/>
        <w:rPr>
          <w:rFonts w:ascii="楷体_GB2312" w:eastAsia="楷体_GB2312"/>
          <w:sz w:val="32"/>
          <w:szCs w:val="32"/>
        </w:rPr>
      </w:pPr>
      <w:r>
        <w:rPr>
          <w:rFonts w:hint="eastAsia" w:ascii="楷体_GB2312" w:eastAsia="楷体_GB2312"/>
          <w:sz w:val="32"/>
          <w:szCs w:val="32"/>
        </w:rPr>
        <w:t>（七）国有资产占用情况说明</w:t>
      </w:r>
    </w:p>
    <w:p w14:paraId="4D3B7AC0">
      <w:pPr>
        <w:spacing w:line="56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2022</w:t>
      </w:r>
      <w:r>
        <w:rPr>
          <w:rFonts w:hint="eastAsia" w:ascii="仿宋_GB2312" w:eastAsia="仿宋_GB2312"/>
          <w:sz w:val="32"/>
          <w:szCs w:val="32"/>
        </w:rPr>
        <w:t>年底，北京信息科技大学共有车辆</w:t>
      </w:r>
      <w:r>
        <w:rPr>
          <w:rFonts w:ascii="仿宋_GB2312" w:eastAsia="仿宋_GB2312"/>
          <w:sz w:val="32"/>
          <w:szCs w:val="32"/>
        </w:rPr>
        <w:t>45</w:t>
      </w:r>
      <w:r>
        <w:rPr>
          <w:rFonts w:hint="eastAsia" w:ascii="仿宋_GB2312" w:eastAsia="仿宋_GB2312"/>
          <w:sz w:val="32"/>
          <w:szCs w:val="32"/>
        </w:rPr>
        <w:t>台，共计</w:t>
      </w:r>
      <w:r>
        <w:rPr>
          <w:rFonts w:ascii="仿宋_GB2312" w:eastAsia="仿宋_GB2312"/>
          <w:sz w:val="32"/>
          <w:szCs w:val="32"/>
        </w:rPr>
        <w:t>1429.18</w:t>
      </w:r>
      <w:r>
        <w:rPr>
          <w:rFonts w:hint="eastAsia" w:ascii="仿宋_GB2312" w:eastAsia="仿宋_GB2312"/>
          <w:sz w:val="32"/>
          <w:szCs w:val="32"/>
        </w:rPr>
        <w:t>万元；单位价值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171</w:t>
      </w:r>
      <w:r>
        <w:rPr>
          <w:rFonts w:hint="eastAsia" w:ascii="仿宋_GB2312" w:eastAsia="仿宋_GB2312"/>
          <w:sz w:val="32"/>
          <w:szCs w:val="32"/>
        </w:rPr>
        <w:t>台（套），共计</w:t>
      </w:r>
      <w:r>
        <w:rPr>
          <w:rFonts w:ascii="仿宋_GB2312" w:eastAsia="仿宋_GB2312"/>
          <w:sz w:val="32"/>
          <w:szCs w:val="32"/>
        </w:rPr>
        <w:t>14463.79</w:t>
      </w:r>
      <w:r>
        <w:rPr>
          <w:rFonts w:hint="eastAsia" w:ascii="仿宋_GB2312" w:eastAsia="仿宋_GB2312"/>
          <w:sz w:val="32"/>
          <w:szCs w:val="32"/>
        </w:rPr>
        <w:t>万元，单位价值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27</w:t>
      </w:r>
      <w:r>
        <w:rPr>
          <w:rFonts w:hint="eastAsia" w:ascii="仿宋_GB2312" w:eastAsia="仿宋_GB2312"/>
          <w:sz w:val="32"/>
          <w:szCs w:val="32"/>
        </w:rPr>
        <w:t>台（套）、共计</w:t>
      </w:r>
      <w:r>
        <w:rPr>
          <w:rFonts w:ascii="仿宋_GB2312" w:eastAsia="仿宋_GB2312"/>
          <w:sz w:val="32"/>
          <w:szCs w:val="32"/>
        </w:rPr>
        <w:t>4658.53</w:t>
      </w:r>
      <w:r>
        <w:rPr>
          <w:rFonts w:hint="eastAsia" w:ascii="仿宋_GB2312" w:eastAsia="仿宋_GB2312"/>
          <w:sz w:val="32"/>
          <w:szCs w:val="32"/>
        </w:rPr>
        <w:t>万元。</w:t>
      </w:r>
    </w:p>
    <w:p w14:paraId="7DE0FDF3">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14:paraId="3B7B4A30">
      <w:pPr>
        <w:spacing w:line="56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14:paraId="5BF77CE0">
      <w:pPr>
        <w:spacing w:line="560" w:lineRule="exact"/>
        <w:ind w:firstLine="640" w:firstLineChars="200"/>
        <w:rPr>
          <w:rFonts w:ascii="仿宋_GB2312" w:eastAsia="仿宋_GB2312"/>
          <w:sz w:val="32"/>
          <w:szCs w:val="32"/>
        </w:rPr>
      </w:pPr>
      <w:r>
        <w:rPr>
          <w:rFonts w:hint="eastAsia" w:ascii="仿宋_GB2312" w:eastAsia="仿宋_GB2312"/>
          <w:sz w:val="32"/>
          <w:szCs w:val="32"/>
        </w:rPr>
        <w:t>“三公”经费财政拨款预算数：指本单位当年单位预算安排的因公出国（境）费用、公务接待费、公务用车购置和运行维护费预算数。</w:t>
      </w:r>
    </w:p>
    <w:p w14:paraId="407E85C0">
      <w:pPr>
        <w:spacing w:line="560" w:lineRule="exact"/>
        <w:ind w:firstLine="640" w:firstLineChars="20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50DDF190">
      <w:pPr>
        <w:spacing w:line="560" w:lineRule="exact"/>
        <w:jc w:val="center"/>
        <w:rPr>
          <w:rFonts w:ascii="方正小标宋简体" w:eastAsia="方正小标宋简体"/>
          <w:color w:val="000000"/>
          <w:sz w:val="36"/>
          <w:szCs w:val="36"/>
        </w:rPr>
      </w:pPr>
    </w:p>
    <w:p w14:paraId="6D8900D8">
      <w:pPr>
        <w:pageBreakBefore/>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2023年度单位预算报表</w:t>
      </w:r>
    </w:p>
    <w:p w14:paraId="3BF24F03">
      <w:pPr>
        <w:autoSpaceDE w:val="0"/>
        <w:autoSpaceDN w:val="0"/>
        <w:adjustRightInd w:val="0"/>
        <w:spacing w:line="560" w:lineRule="exact"/>
        <w:jc w:val="left"/>
        <w:rPr>
          <w:rFonts w:ascii="方正小标宋简体" w:eastAsia="方正小标宋简体"/>
          <w:color w:val="000000"/>
          <w:sz w:val="36"/>
          <w:szCs w:val="36"/>
        </w:rPr>
      </w:pPr>
    </w:p>
    <w:p w14:paraId="59CDF955">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附件：北京信息科技大学2023年度单位预算报表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88189">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ffectLst/>
                    </wps:spPr>
                    <wps:txbx>
                      <w:txbxContent>
                        <w:p w14:paraId="67DB6E5A">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vOISfRAAAAAwEAAA8AAAAAAAAAAQAgAAAAIgAA&#10;AGRycy9kb3ducmV2LnhtbFBLAQIUABQAAAAIAIdO4kACoejpDwIAABAEAAAOAAAAAAAAAAEAIAAA&#10;ACABAABkcnMvZTJvRG9jLnhtbFBLBQYAAAAABgAGAFkBAAChBQAAAAA=&#10;">
              <v:fill on="f" focussize="0,0"/>
              <v:stroke on="f"/>
              <v:imagedata o:title=""/>
              <o:lock v:ext="edit" aspectratio="f"/>
              <v:textbox inset="0mm,0mm,0mm,0mm" style="mso-fit-shape-to-text:t;">
                <w:txbxContent>
                  <w:p w14:paraId="67DB6E5A">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txbxContent>
              </v:textbox>
            </v:shape>
          </w:pict>
        </mc:Fallback>
      </mc:AlternateContent>
    </w:r>
  </w:p>
  <w:p w14:paraId="3F0E1506">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1YWYyYjVlZTBiY2JhMGFmZmEzZDMyOTM1ODRjMmEifQ=="/>
  </w:docVars>
  <w:rsids>
    <w:rsidRoot w:val="00D263AC"/>
    <w:rsid w:val="000565C5"/>
    <w:rsid w:val="0008499B"/>
    <w:rsid w:val="000A2C5C"/>
    <w:rsid w:val="00111A32"/>
    <w:rsid w:val="00115E6A"/>
    <w:rsid w:val="00121673"/>
    <w:rsid w:val="00130BA3"/>
    <w:rsid w:val="00144A01"/>
    <w:rsid w:val="001A6EA4"/>
    <w:rsid w:val="001E2014"/>
    <w:rsid w:val="001E452B"/>
    <w:rsid w:val="001E487B"/>
    <w:rsid w:val="001F55F0"/>
    <w:rsid w:val="00240A72"/>
    <w:rsid w:val="002C5A2E"/>
    <w:rsid w:val="0035069B"/>
    <w:rsid w:val="00356EC7"/>
    <w:rsid w:val="003A063F"/>
    <w:rsid w:val="003F2F91"/>
    <w:rsid w:val="00437719"/>
    <w:rsid w:val="004426FD"/>
    <w:rsid w:val="004E4EE0"/>
    <w:rsid w:val="0052470D"/>
    <w:rsid w:val="0056788F"/>
    <w:rsid w:val="005702AF"/>
    <w:rsid w:val="005C05C6"/>
    <w:rsid w:val="005E11FC"/>
    <w:rsid w:val="0067074D"/>
    <w:rsid w:val="0068548E"/>
    <w:rsid w:val="00686186"/>
    <w:rsid w:val="006C70FF"/>
    <w:rsid w:val="00763487"/>
    <w:rsid w:val="00763F81"/>
    <w:rsid w:val="007A21C6"/>
    <w:rsid w:val="0080301D"/>
    <w:rsid w:val="00810E8D"/>
    <w:rsid w:val="00844BF6"/>
    <w:rsid w:val="008574EC"/>
    <w:rsid w:val="00867B1B"/>
    <w:rsid w:val="008761E4"/>
    <w:rsid w:val="0091198A"/>
    <w:rsid w:val="009B27B4"/>
    <w:rsid w:val="009D0C46"/>
    <w:rsid w:val="00A07AFB"/>
    <w:rsid w:val="00A16BB7"/>
    <w:rsid w:val="00A43ED1"/>
    <w:rsid w:val="00A441A6"/>
    <w:rsid w:val="00A51572"/>
    <w:rsid w:val="00A9714E"/>
    <w:rsid w:val="00A972EE"/>
    <w:rsid w:val="00B0474A"/>
    <w:rsid w:val="00B15132"/>
    <w:rsid w:val="00B25588"/>
    <w:rsid w:val="00B3444D"/>
    <w:rsid w:val="00B94CD3"/>
    <w:rsid w:val="00BC0525"/>
    <w:rsid w:val="00BE7256"/>
    <w:rsid w:val="00C63ABD"/>
    <w:rsid w:val="00C86E31"/>
    <w:rsid w:val="00CB480E"/>
    <w:rsid w:val="00CE05DF"/>
    <w:rsid w:val="00D126F2"/>
    <w:rsid w:val="00D154B4"/>
    <w:rsid w:val="00D20DF1"/>
    <w:rsid w:val="00D263AC"/>
    <w:rsid w:val="00D411BE"/>
    <w:rsid w:val="00D423AA"/>
    <w:rsid w:val="00D474D2"/>
    <w:rsid w:val="00D96C40"/>
    <w:rsid w:val="00DB4261"/>
    <w:rsid w:val="00E34D1A"/>
    <w:rsid w:val="00E850C9"/>
    <w:rsid w:val="00EA7113"/>
    <w:rsid w:val="00F06E11"/>
    <w:rsid w:val="00F118B7"/>
    <w:rsid w:val="00F32E8B"/>
    <w:rsid w:val="00F45CE5"/>
    <w:rsid w:val="00F57876"/>
    <w:rsid w:val="037256F4"/>
    <w:rsid w:val="06F00767"/>
    <w:rsid w:val="08963B38"/>
    <w:rsid w:val="0B1C482A"/>
    <w:rsid w:val="0B461A1E"/>
    <w:rsid w:val="0CB22F9E"/>
    <w:rsid w:val="0E31650B"/>
    <w:rsid w:val="10506D41"/>
    <w:rsid w:val="112A2076"/>
    <w:rsid w:val="1265148A"/>
    <w:rsid w:val="1D495AC0"/>
    <w:rsid w:val="21E840B1"/>
    <w:rsid w:val="262E1BA8"/>
    <w:rsid w:val="27084F4B"/>
    <w:rsid w:val="27917A0B"/>
    <w:rsid w:val="34220D68"/>
    <w:rsid w:val="3C756EF6"/>
    <w:rsid w:val="453E154B"/>
    <w:rsid w:val="455F751A"/>
    <w:rsid w:val="48BE7E5F"/>
    <w:rsid w:val="5171132D"/>
    <w:rsid w:val="5EA47330"/>
    <w:rsid w:val="6FDF06D2"/>
    <w:rsid w:val="71270328"/>
    <w:rsid w:val="72B37CEF"/>
    <w:rsid w:val="72C101AB"/>
    <w:rsid w:val="742C792C"/>
    <w:rsid w:val="75F73CE1"/>
    <w:rsid w:val="76B03C21"/>
    <w:rsid w:val="77383704"/>
    <w:rsid w:val="77572AE9"/>
    <w:rsid w:val="77A514D1"/>
    <w:rsid w:val="7E8D75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10"/>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2 字符"/>
    <w:basedOn w:val="7"/>
    <w:link w:val="2"/>
    <w:qFormat/>
    <w:uiPriority w:val="0"/>
    <w:rPr>
      <w:rFonts w:ascii="Cambria" w:hAnsi="Cambria" w:eastAsia="黑体" w:cs="Times New Roman"/>
      <w:b/>
      <w:bCs/>
      <w:kern w:val="0"/>
      <w:sz w:val="36"/>
      <w:szCs w:val="32"/>
    </w:rPr>
  </w:style>
  <w:style w:type="paragraph" w:styleId="11">
    <w:name w:val="List Paragraph"/>
    <w:basedOn w:val="1"/>
    <w:qFormat/>
    <w:uiPriority w:val="34"/>
    <w:pPr>
      <w:ind w:firstLine="420" w:firstLineChars="200"/>
    </w:pPr>
  </w:style>
  <w:style w:type="character" w:customStyle="1" w:styleId="12">
    <w:name w:val="批注框文本 字符"/>
    <w:basedOn w:val="7"/>
    <w:link w:val="3"/>
    <w:semiHidden/>
    <w:qFormat/>
    <w:uiPriority w:val="99"/>
    <w:rPr>
      <w:rFonts w:ascii="Times New Roman" w:hAnsi="Times New Roman" w:cs="Droid Sans"/>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021022-&#21271;&#20140;&#20449;&#24687;&#31185;&#25216;&#22823;&#23398;-2023&#24180;&#39044;&#31639;&#33609;&#26696;%20&#25945;&#22996;&#21453;&#39304;1.11\021022-&#21271;&#20140;&#20449;&#24687;&#31185;&#25216;&#22823;&#23398;-&#38468;&#20214;1&#65306;2023&#24180;&#37096;&#38376;&#39044;&#31639;&#33609;&#26696;&#25253;&#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收入预算</a:t>
            </a:r>
            <a:endParaRPr lang="zh-CN" altLang="en-US"/>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'01收支总表'!$H$19:$H$24</c:f>
              <c:strCache>
                <c:ptCount val="6"/>
                <c:pt idx="0">
                  <c:v>一般公共预算拨款收入</c:v>
                </c:pt>
                <c:pt idx="1">
                  <c:v>政府性基金预算拨款收入</c:v>
                </c:pt>
                <c:pt idx="2">
                  <c:v>财政专户管理资金收入</c:v>
                </c:pt>
                <c:pt idx="3">
                  <c:v>事业收入</c:v>
                </c:pt>
                <c:pt idx="4">
                  <c:v>其他收入</c:v>
                </c:pt>
                <c:pt idx="5">
                  <c:v>上年结转结余</c:v>
                </c:pt>
              </c:strCache>
            </c:strRef>
          </c:cat>
          <c:val>
            <c:numRef>
              <c:f>'01收支总表'!$I$19:$I$24</c:f>
              <c:numCache>
                <c:formatCode>0.00%</c:formatCode>
                <c:ptCount val="6"/>
                <c:pt idx="0">
                  <c:v>0.767913733143123</c:v>
                </c:pt>
                <c:pt idx="1">
                  <c:v>0.000185157575251706</c:v>
                </c:pt>
                <c:pt idx="2">
                  <c:v>0.0559155430573628</c:v>
                </c:pt>
                <c:pt idx="3">
                  <c:v>0.0589289836526276</c:v>
                </c:pt>
                <c:pt idx="4">
                  <c:v>0.00581659297112145</c:v>
                </c:pt>
                <c:pt idx="5">
                  <c:v>0.111239989600514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621015702778532"/>
          <c:y val="0.277197433654127"/>
          <c:w val="0.375784686396959"/>
          <c:h val="0.49595071449402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14968da3-b67d-488e-be55-cc2387fc0427}"/>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基本支出和项目支出情况</a:t>
            </a:r>
            <a:endParaRPr lang="zh-CN" altLang="en-US"/>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'01收支总表'!$J$20:$J$21</c:f>
              <c:strCache>
                <c:ptCount val="2"/>
                <c:pt idx="0">
                  <c:v>基本支出</c:v>
                </c:pt>
                <c:pt idx="1">
                  <c:v>项目支出</c:v>
                </c:pt>
              </c:strCache>
            </c:strRef>
          </c:cat>
          <c:val>
            <c:numRef>
              <c:f>'01收支总表'!$K$20:$K$21</c:f>
              <c:numCache>
                <c:formatCode>0.00%</c:formatCode>
                <c:ptCount val="2"/>
                <c:pt idx="0">
                  <c:v>0.587982288840158</c:v>
                </c:pt>
                <c:pt idx="1">
                  <c:v>0.412017711159842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8832f432-cc9b-488f-89d1-33bb380b1402}"/>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2572</Words>
  <Characters>3005</Characters>
  <Lines>22</Lines>
  <Paragraphs>6</Paragraphs>
  <TotalTime>102</TotalTime>
  <ScaleCrop>false</ScaleCrop>
  <LinksUpToDate>false</LinksUpToDate>
  <CharactersWithSpaces>3016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2023-02-15T02:41:00Z</dcterms:created>
  <dc:creator>li Katherine</dc:creator>
  <cp:lastModifiedBy>真·大型肉食动物饲养员</cp:lastModifiedBy>
  <dcterms:modified xsi:type="dcterms:W3CDTF">2025-03-03T03:14:21Z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10292991B5D648C08F21EB5BC8833072</vt:lpwstr>
  </property>
  <property fmtid="{D5CDD505-2E9C-101B-9397-08002B2CF9AE}" pid="4" name="KSOTemplateDocerSaveRecord">
    <vt:lpwstr>eyJoZGlkIjoiNGIyYTFhY2FhY2RjN2E2ZjE5YjM5MTEwYTMzNTI3ZmUiLCJ1c2VySWQiOiIzMzc1ODA3MjYifQ==</vt:lpwstr>
  </property>
</Properties>
</file>