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95D5" w14:textId="77777777" w:rsidR="00AC3C94"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首都师范大学2023年财政预算信息公开</w:t>
      </w:r>
    </w:p>
    <w:p w14:paraId="086ACCD2" w14:textId="77777777" w:rsidR="00AC3C94" w:rsidRDefault="00AC3C94">
      <w:pPr>
        <w:spacing w:line="240" w:lineRule="exact"/>
        <w:jc w:val="center"/>
        <w:rPr>
          <w:rFonts w:ascii="方正小标宋简体" w:eastAsia="方正小标宋简体"/>
          <w:color w:val="000000"/>
          <w:sz w:val="32"/>
          <w:szCs w:val="32"/>
        </w:rPr>
      </w:pPr>
    </w:p>
    <w:p w14:paraId="04404FDC" w14:textId="77777777" w:rsidR="00AC3C94"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32446DE9" w14:textId="77777777" w:rsidR="00AC3C94" w:rsidRDefault="00AC3C94">
      <w:pPr>
        <w:spacing w:line="240" w:lineRule="exact"/>
        <w:jc w:val="center"/>
        <w:rPr>
          <w:rFonts w:ascii="方正小标宋简体" w:eastAsia="方正小标宋简体"/>
          <w:color w:val="000000"/>
          <w:sz w:val="32"/>
          <w:szCs w:val="32"/>
        </w:rPr>
      </w:pPr>
    </w:p>
    <w:p w14:paraId="063945F6" w14:textId="77777777" w:rsidR="00AC3C94"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5E3D9853" w14:textId="77777777" w:rsidR="00AC3C94"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7C099D90" w14:textId="77777777" w:rsidR="00AC3C94"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17EE8F5B" w14:textId="77777777" w:rsidR="00AC3C94"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35FE5B38" w14:textId="77777777" w:rsidR="00AC3C94"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79FE3FEB" w14:textId="77777777" w:rsidR="00AC3C94"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29E70CA3" w14:textId="77777777" w:rsidR="00AC3C94"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1FDCA335" w14:textId="77777777" w:rsidR="00AC3C94"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6E6DE17F" w14:textId="77777777" w:rsidR="00AC3C94"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0870BCA7" w14:textId="77777777" w:rsidR="00AC3C94"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6801FB5A" w14:textId="77777777" w:rsidR="00AC3C94"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2F149DBD" w14:textId="77777777" w:rsidR="00AC3C94"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44F420AB" w14:textId="77777777" w:rsidR="00AC3C94"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6496251F" w14:textId="77777777" w:rsidR="00AC3C94"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6F1B10C4" w14:textId="77777777" w:rsidR="00AC3C94"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7C5F2EBA" w14:textId="77777777" w:rsidR="00AC3C94"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6A909BC4" w14:textId="77777777" w:rsidR="00AC3C94"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48B49455" w14:textId="77777777" w:rsidR="00AC3C94"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52AB4A75" w14:textId="77777777" w:rsidR="00AC3C94"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10545295" w14:textId="77777777" w:rsidR="00AC3C94"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0DF0DD12" w14:textId="77777777" w:rsidR="00AC3C94"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AC3C94">
          <w:footerReference w:type="default" r:id="rId9"/>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6C5DC531" w14:textId="77777777" w:rsidR="00AC3C94" w:rsidRDefault="00AC3C94">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p>
    <w:p w14:paraId="6462D7D8" w14:textId="77777777" w:rsidR="00AC3C94"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第一部分  2023年度单位预算情况说明</w:t>
      </w:r>
    </w:p>
    <w:p w14:paraId="3EFF5ACD" w14:textId="77777777" w:rsidR="00AC3C94" w:rsidRDefault="00AC3C94">
      <w:pPr>
        <w:spacing w:line="360" w:lineRule="auto"/>
        <w:rPr>
          <w:rFonts w:ascii="仿宋_GB2312" w:eastAsia="仿宋_GB2312"/>
          <w:color w:val="000000"/>
          <w:sz w:val="32"/>
          <w:szCs w:val="32"/>
        </w:rPr>
      </w:pPr>
    </w:p>
    <w:p w14:paraId="654B4270" w14:textId="77777777" w:rsidR="00AC3C94"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1340A5F8" w14:textId="77777777" w:rsidR="00AC3C94"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322BE86C" w14:textId="77777777" w:rsidR="00AC3C94"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首都师范大学为公益二类事业单位。</w:t>
      </w:r>
    </w:p>
    <w:p w14:paraId="59803C18" w14:textId="77777777" w:rsidR="00AC3C94" w:rsidRDefault="00000000">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单位职责：培养高等学历师资人才，促进教育事业发展。涉及中文、历史、政治、教育、音乐、美术、外语、数学、物理、化学、生物、地理、计算机、初等教育等学科专业，开展大专、本科、研究生班、硕士研究生、博士研究生学历教育，博士后培养，相关科学研究，继续教育，专业培训和学术交流。</w:t>
      </w:r>
    </w:p>
    <w:p w14:paraId="278E3BCA" w14:textId="77777777" w:rsidR="00AC3C94" w:rsidRDefault="00000000">
      <w:pPr>
        <w:numPr>
          <w:ilvl w:val="0"/>
          <w:numId w:val="1"/>
        </w:numPr>
        <w:spacing w:line="560" w:lineRule="exact"/>
        <w:ind w:firstLineChars="200" w:firstLine="640"/>
        <w:rPr>
          <w:rFonts w:ascii="仿宋" w:eastAsia="仿宋" w:hAnsi="仿宋" w:cs="仿宋"/>
          <w:sz w:val="32"/>
          <w:szCs w:val="32"/>
        </w:rPr>
      </w:pPr>
      <w:r>
        <w:rPr>
          <w:rFonts w:ascii="楷体_GB2312" w:eastAsia="楷体_GB2312" w:hint="eastAsia"/>
          <w:color w:val="000000"/>
          <w:sz w:val="32"/>
          <w:szCs w:val="32"/>
        </w:rPr>
        <w:t>机构设置情况</w:t>
      </w:r>
    </w:p>
    <w:p w14:paraId="16986A69" w14:textId="77777777" w:rsidR="00AC3C94" w:rsidRDefault="0000000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根据中共中央、国务院批准的北京市人民政府机构改革方案和《北京市人民政府关于机构设置的通知》（京政发【2009】2号），设立首都师范大学。内设80个处室，分别为文学院、历史学院、政法学院、初等教育学院、管理学院、国际文化学院、交叉科学研究院、人文社会科学创新研究院、人工智能教育研究院、数学科学学院、教师教育学院、生命科学学院、资源环境与旅游学院、化学系、马克思主义学院、教育学院、美术学院、心理学院、外国语学院、信息工程学院、继续教育学院、京疆学院、体育教学研究部、大学英语教研部、中国书法文化研究院、学前教育学院、燕都学院、</w:t>
      </w:r>
      <w:r>
        <w:rPr>
          <w:rFonts w:ascii="仿宋" w:eastAsia="仿宋" w:hAnsi="仿宋" w:cs="仿宋" w:hint="eastAsia"/>
          <w:sz w:val="32"/>
          <w:szCs w:val="32"/>
        </w:rPr>
        <w:lastRenderedPageBreak/>
        <w:t>音乐学院、中国国学教育学院、文化研究院、诗歌研究中心、语言测试中心、招生就业处、综合档案馆、教育学部、物理系、艺术学部、人文社会科学学部、保卫处、北京市高等学校师资培训中心、国有资产管理处、财务处、出版社、对外合作办公室、发展规划办公室、附属幼儿园、工会、公共资源服务中心、后勤保障部、机关党委、基建处、纪委监察专员办公室、党委巡察办公室、教师工作部、教务处、科技处、技术转移中心、离退休干部处、良乡校区规划建设办公室、良乡校区基础学部、艺术与美育研究院、人事处、社科处、社区居委会、审计处、数字校园建设中心、统战部、图书馆、团委、校办产业管理办公室、校医院、校友工作办公室、国际合作交流处（港澳台事务办公室）、宣传部、学报编辑部、学生处、学校办公室、研究生院、组织部、妇女联合会。</w:t>
      </w:r>
    </w:p>
    <w:p w14:paraId="7036F032" w14:textId="77777777" w:rsidR="00AC3C94" w:rsidRDefault="00000000">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首都师范大学包括1个预算单位，即首都师范大学（本级）。</w:t>
      </w:r>
    </w:p>
    <w:p w14:paraId="06A994E5" w14:textId="77777777" w:rsidR="00AC3C94" w:rsidRPr="00496AD8" w:rsidRDefault="00000000" w:rsidP="00B21FA9">
      <w:pPr>
        <w:spacing w:line="560" w:lineRule="exact"/>
        <w:ind w:left="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32C1C9DE" w14:textId="70E082CA" w:rsidR="00AC3C94" w:rsidRPr="00496AD8" w:rsidRDefault="00000000" w:rsidP="00496AD8">
      <w:pPr>
        <w:pStyle w:val="2"/>
        <w:spacing w:line="560" w:lineRule="exact"/>
        <w:ind w:firstLineChars="200" w:firstLine="640"/>
        <w:rPr>
          <w:rFonts w:ascii="仿宋" w:eastAsia="仿宋" w:hAnsi="仿宋" w:cs="仿宋"/>
          <w:b w:val="0"/>
          <w:bCs w:val="0"/>
          <w:kern w:val="2"/>
          <w:sz w:val="32"/>
        </w:rPr>
      </w:pPr>
      <w:r w:rsidRPr="00496AD8">
        <w:rPr>
          <w:rFonts w:ascii="仿宋" w:eastAsia="仿宋" w:hAnsi="仿宋" w:cs="仿宋" w:hint="eastAsia"/>
          <w:b w:val="0"/>
          <w:bCs w:val="0"/>
          <w:kern w:val="2"/>
          <w:sz w:val="32"/>
        </w:rPr>
        <w:t>首都师范大学</w:t>
      </w:r>
      <w:r w:rsidR="00FD125B" w:rsidRPr="00FD125B">
        <w:rPr>
          <w:rFonts w:ascii="仿宋" w:eastAsia="仿宋" w:hAnsi="仿宋" w:cs="仿宋" w:hint="eastAsia"/>
          <w:b w:val="0"/>
          <w:bCs w:val="0"/>
          <w:kern w:val="2"/>
          <w:sz w:val="32"/>
        </w:rPr>
        <w:t>行政编制0人，实有人数0人；</w:t>
      </w:r>
      <w:r w:rsidRPr="00496AD8">
        <w:rPr>
          <w:rFonts w:ascii="仿宋" w:eastAsia="仿宋" w:hAnsi="仿宋" w:cs="仿宋" w:hint="eastAsia"/>
          <w:b w:val="0"/>
          <w:bCs w:val="0"/>
          <w:kern w:val="2"/>
          <w:sz w:val="32"/>
        </w:rPr>
        <w:t>事业编制2795人，</w:t>
      </w:r>
      <w:r w:rsidR="00260CEB" w:rsidRPr="00FD125B">
        <w:rPr>
          <w:rFonts w:ascii="仿宋" w:eastAsia="仿宋" w:hAnsi="仿宋" w:cs="仿宋" w:hint="eastAsia"/>
          <w:b w:val="0"/>
          <w:bCs w:val="0"/>
          <w:kern w:val="2"/>
          <w:sz w:val="32"/>
        </w:rPr>
        <w:t>实有人数</w:t>
      </w:r>
      <w:r w:rsidRPr="00496AD8">
        <w:rPr>
          <w:rFonts w:ascii="仿宋" w:eastAsia="仿宋" w:hAnsi="仿宋" w:cs="仿宋" w:hint="eastAsia"/>
          <w:b w:val="0"/>
          <w:bCs w:val="0"/>
          <w:kern w:val="2"/>
          <w:sz w:val="32"/>
        </w:rPr>
        <w:t>2484人</w:t>
      </w:r>
      <w:r w:rsidR="00FD125B">
        <w:rPr>
          <w:rFonts w:ascii="仿宋" w:eastAsia="仿宋" w:hAnsi="仿宋" w:cs="仿宋" w:hint="eastAsia"/>
          <w:b w:val="0"/>
          <w:bCs w:val="0"/>
          <w:kern w:val="2"/>
          <w:sz w:val="32"/>
        </w:rPr>
        <w:t>；</w:t>
      </w:r>
      <w:r w:rsidRPr="00496AD8">
        <w:rPr>
          <w:rFonts w:ascii="仿宋" w:eastAsia="仿宋" w:hAnsi="仿宋" w:cs="仿宋" w:hint="eastAsia"/>
          <w:b w:val="0"/>
          <w:bCs w:val="0"/>
          <w:kern w:val="2"/>
          <w:sz w:val="32"/>
        </w:rPr>
        <w:t>离休人员70人，退休人员2509人</w:t>
      </w:r>
      <w:r w:rsidR="00F40C1B">
        <w:rPr>
          <w:rFonts w:ascii="仿宋" w:eastAsia="仿宋" w:hAnsi="仿宋" w:cs="仿宋" w:hint="eastAsia"/>
          <w:b w:val="0"/>
          <w:bCs w:val="0"/>
          <w:kern w:val="2"/>
          <w:sz w:val="32"/>
        </w:rPr>
        <w:t>；</w:t>
      </w:r>
      <w:r w:rsidRPr="00496AD8">
        <w:rPr>
          <w:rFonts w:ascii="仿宋" w:eastAsia="仿宋" w:hAnsi="仿宋" w:cs="仿宋" w:hint="eastAsia"/>
          <w:b w:val="0"/>
          <w:bCs w:val="0"/>
          <w:kern w:val="2"/>
          <w:sz w:val="32"/>
        </w:rPr>
        <w:t>学生人数26412人</w:t>
      </w:r>
      <w:r w:rsidR="00F40C1B">
        <w:rPr>
          <w:rFonts w:ascii="仿宋" w:eastAsia="仿宋" w:hAnsi="仿宋" w:cs="仿宋" w:hint="eastAsia"/>
          <w:b w:val="0"/>
          <w:bCs w:val="0"/>
          <w:kern w:val="2"/>
          <w:sz w:val="32"/>
        </w:rPr>
        <w:t>；其他人员无</w:t>
      </w:r>
      <w:r w:rsidRPr="00496AD8">
        <w:rPr>
          <w:rFonts w:ascii="仿宋" w:eastAsia="仿宋" w:hAnsi="仿宋" w:cs="仿宋" w:hint="eastAsia"/>
          <w:b w:val="0"/>
          <w:bCs w:val="0"/>
          <w:kern w:val="2"/>
          <w:sz w:val="32"/>
        </w:rPr>
        <w:t>。</w:t>
      </w:r>
    </w:p>
    <w:p w14:paraId="4F6A17B9" w14:textId="77777777" w:rsidR="00AC3C94"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35DA2E09" w14:textId="76357211" w:rsidR="00504E0A" w:rsidRDefault="00000000" w:rsidP="00504E0A">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2023年度收入预算227405.67万元，比2022年年初预</w:t>
      </w:r>
      <w:r>
        <w:rPr>
          <w:rFonts w:ascii="仿宋_GB2312" w:eastAsia="仿宋_GB2312" w:hint="eastAsia"/>
          <w:sz w:val="32"/>
          <w:szCs w:val="32"/>
        </w:rPr>
        <w:lastRenderedPageBreak/>
        <w:t>算数203364.32万元增加24041.35万元，增长11.82%。</w:t>
      </w:r>
      <w:r w:rsidR="00504E0A">
        <w:rPr>
          <w:rFonts w:ascii="仿宋_GB2312" w:eastAsia="仿宋_GB2312" w:hint="eastAsia"/>
          <w:sz w:val="32"/>
          <w:szCs w:val="32"/>
        </w:rPr>
        <w:t>主要原因：一是</w:t>
      </w:r>
      <w:r w:rsidR="00504E0A" w:rsidRPr="00504E0A">
        <w:rPr>
          <w:rFonts w:ascii="仿宋_GB2312" w:eastAsia="仿宋_GB2312" w:hint="eastAsia"/>
          <w:sz w:val="32"/>
          <w:szCs w:val="32"/>
        </w:rPr>
        <w:t>因学生人数增加，运转经费有所增加</w:t>
      </w:r>
      <w:r w:rsidR="00504E0A">
        <w:rPr>
          <w:rFonts w:ascii="仿宋_GB2312" w:eastAsia="仿宋_GB2312" w:hint="eastAsia"/>
          <w:sz w:val="32"/>
          <w:szCs w:val="32"/>
        </w:rPr>
        <w:t>；二是根据事业单位发展规划调整项目安排。</w:t>
      </w:r>
    </w:p>
    <w:p w14:paraId="5671C22F"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（一）本年财政拨款收入166510.20万元</w:t>
      </w:r>
    </w:p>
    <w:p w14:paraId="65336535"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1.一般公共预算拨款收入166510.20万元。</w:t>
      </w:r>
    </w:p>
    <w:p w14:paraId="7FBE7DD0"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49ED936A"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3A3D3747"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（二）本年其他资金收入52386.24万元</w:t>
      </w:r>
    </w:p>
    <w:p w14:paraId="597E7C9A"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4.财政专户管理资金收入18529.34万元。</w:t>
      </w:r>
    </w:p>
    <w:p w14:paraId="647F09AB"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5.事业收入24206.90万元。</w:t>
      </w:r>
    </w:p>
    <w:p w14:paraId="78A2CA45"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1836C183"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7.附属单位上缴收入2250万元。</w:t>
      </w:r>
    </w:p>
    <w:p w14:paraId="07AA8F97"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14:paraId="355354E5"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9.其他收入7400万元。</w:t>
      </w:r>
    </w:p>
    <w:p w14:paraId="58ECA224"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（三）上年结转结余8509.23万元</w:t>
      </w:r>
    </w:p>
    <w:p w14:paraId="09152DD3"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10.上年结转结余8509.23万元。</w:t>
      </w:r>
    </w:p>
    <w:p w14:paraId="0C8BBCF7" w14:textId="77777777" w:rsidR="00AC3C94" w:rsidRDefault="00000000">
      <w:pPr>
        <w:pStyle w:val="2"/>
        <w:jc w:val="center"/>
      </w:pPr>
      <w:r>
        <w:rPr>
          <w:rFonts w:ascii="仿宋_GB2312" w:eastAsia="仿宋_GB2312" w:hint="eastAsia"/>
          <w:sz w:val="32"/>
        </w:rPr>
        <w:lastRenderedPageBreak/>
        <w:t>图1：收入预算</w:t>
      </w:r>
    </w:p>
    <w:p w14:paraId="67DD03E1" w14:textId="77777777" w:rsidR="00AC3C94" w:rsidRDefault="00000000">
      <w:pPr>
        <w:jc w:val="center"/>
        <w:rPr>
          <w:rFonts w:ascii="黑体" w:eastAsia="黑体"/>
          <w:sz w:val="32"/>
          <w:szCs w:val="32"/>
        </w:rPr>
      </w:pPr>
      <w:r>
        <w:rPr>
          <w:noProof/>
        </w:rPr>
        <w:drawing>
          <wp:inline distT="0" distB="0" distL="114300" distR="114300" wp14:anchorId="161F9274" wp14:editId="54421A72">
            <wp:extent cx="4572000" cy="2743200"/>
            <wp:effectExtent l="4445" t="4445" r="8255" b="8255"/>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4EAB8C4" w14:textId="77777777" w:rsidR="00AC3C94"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5BBEEB80" w14:textId="51102F2A"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2023年支出预算227405.67万元，比2022年年初预算数203364.32万元增加24041.35万元，增长11.82%。主要原因</w:t>
      </w:r>
      <w:r w:rsidR="005E5B79">
        <w:rPr>
          <w:rFonts w:ascii="仿宋_GB2312" w:eastAsia="仿宋_GB2312" w:hint="eastAsia"/>
          <w:sz w:val="32"/>
          <w:szCs w:val="32"/>
        </w:rPr>
        <w:t>：</w:t>
      </w:r>
      <w:r>
        <w:rPr>
          <w:rFonts w:ascii="仿宋_GB2312" w:eastAsia="仿宋_GB2312" w:hint="eastAsia"/>
          <w:sz w:val="32"/>
          <w:szCs w:val="32"/>
        </w:rPr>
        <w:t>一是</w:t>
      </w:r>
      <w:r w:rsidR="00504E0A" w:rsidRPr="00504E0A">
        <w:rPr>
          <w:rFonts w:ascii="仿宋_GB2312" w:eastAsia="仿宋_GB2312" w:hint="eastAsia"/>
          <w:sz w:val="32"/>
          <w:szCs w:val="32"/>
        </w:rPr>
        <w:t>因学生人数增加，运转经费有所增加</w:t>
      </w:r>
      <w:r w:rsidR="00504E0A">
        <w:rPr>
          <w:rFonts w:ascii="仿宋_GB2312" w:eastAsia="仿宋_GB2312" w:hint="eastAsia"/>
          <w:sz w:val="32"/>
          <w:szCs w:val="32"/>
        </w:rPr>
        <w:t>；</w:t>
      </w:r>
      <w:r>
        <w:rPr>
          <w:rFonts w:ascii="仿宋_GB2312" w:eastAsia="仿宋_GB2312" w:hint="eastAsia"/>
          <w:sz w:val="32"/>
          <w:szCs w:val="32"/>
        </w:rPr>
        <w:t>二是根据事业单位发展规划调整项目</w:t>
      </w:r>
      <w:r w:rsidR="00E315C1">
        <w:rPr>
          <w:rFonts w:ascii="仿宋_GB2312" w:eastAsia="仿宋_GB2312" w:hint="eastAsia"/>
          <w:sz w:val="32"/>
          <w:szCs w:val="32"/>
        </w:rPr>
        <w:t>安排</w:t>
      </w:r>
      <w:r>
        <w:rPr>
          <w:rFonts w:ascii="仿宋_GB2312" w:eastAsia="仿宋_GB2312" w:hint="eastAsia"/>
          <w:sz w:val="32"/>
          <w:szCs w:val="32"/>
        </w:rPr>
        <w:t>。</w:t>
      </w:r>
    </w:p>
    <w:p w14:paraId="465D8576" w14:textId="77777777" w:rsidR="00AC3C94"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基本支出预算192729.65万元，占总支出预算84.75%，比2022年年初预算数176839.79万元增加15889.86万元，增长8.99%。</w:t>
      </w:r>
    </w:p>
    <w:p w14:paraId="0CD5D24B" w14:textId="77777777" w:rsidR="00AC3C94"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项目支出预算34676.02万元，比2022年年初预算数26524.53万元增加8151.49万元，增长30.73%。其中：</w:t>
      </w:r>
    </w:p>
    <w:p w14:paraId="01F1333C" w14:textId="77777777" w:rsidR="00AC3C94"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1D4729D0" w14:textId="77777777" w:rsidR="00AC3C94"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4E1BE010" w14:textId="77777777" w:rsidR="00AC3C94"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1E6FABF1" w14:textId="77777777" w:rsidR="00AC3C94" w:rsidRDefault="00000000">
      <w:pPr>
        <w:pStyle w:val="2"/>
        <w:ind w:firstLine="642"/>
        <w:jc w:val="center"/>
      </w:pPr>
      <w:r>
        <w:rPr>
          <w:rFonts w:ascii="仿宋_GB2312" w:eastAsia="仿宋_GB2312" w:hint="eastAsia"/>
          <w:sz w:val="32"/>
        </w:rPr>
        <w:lastRenderedPageBreak/>
        <w:t>图2：基本支出和项目支出情况</w:t>
      </w:r>
    </w:p>
    <w:p w14:paraId="3D240622" w14:textId="77777777" w:rsidR="00AC3C94" w:rsidRDefault="00000000">
      <w:pPr>
        <w:jc w:val="center"/>
      </w:pPr>
      <w:r>
        <w:rPr>
          <w:noProof/>
        </w:rPr>
        <w:drawing>
          <wp:inline distT="0" distB="0" distL="114300" distR="114300" wp14:anchorId="06FD6AFF" wp14:editId="42FE7B79">
            <wp:extent cx="4572000" cy="2743200"/>
            <wp:effectExtent l="4445" t="4445" r="8255" b="825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A0C0811" w14:textId="77777777" w:rsidR="00AC3C94" w:rsidRDefault="00AC3C94">
      <w:pPr>
        <w:spacing w:line="560" w:lineRule="exact"/>
        <w:ind w:firstLineChars="200" w:firstLine="640"/>
        <w:rPr>
          <w:rFonts w:ascii="黑体" w:eastAsia="黑体"/>
          <w:sz w:val="32"/>
          <w:szCs w:val="32"/>
        </w:rPr>
      </w:pPr>
    </w:p>
    <w:p w14:paraId="2A9E331E" w14:textId="77777777" w:rsidR="00AC3C94" w:rsidRDefault="00000000">
      <w:pPr>
        <w:spacing w:line="560" w:lineRule="exact"/>
        <w:ind w:firstLineChars="200" w:firstLine="640"/>
        <w:rPr>
          <w:rFonts w:ascii="楷体_GB2312" w:eastAsia="楷体_GB2312" w:cs="楷体_GB2312"/>
          <w:sz w:val="32"/>
          <w:szCs w:val="32"/>
        </w:rPr>
      </w:pPr>
      <w:r>
        <w:rPr>
          <w:rFonts w:ascii="黑体" w:eastAsia="黑体" w:hint="eastAsia"/>
          <w:sz w:val="32"/>
          <w:szCs w:val="32"/>
        </w:rPr>
        <w:t>四、财政拨款“三公”经费预算情况说明</w:t>
      </w:r>
    </w:p>
    <w:p w14:paraId="121BCF8E"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4FF64344"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首都师范大学因公出国（境）费用、公务接待费、公务用车购置和运行维护费开支单位包括1个单位。其他所属单位2023年无财政拨款安排的“三公”经费预算。</w:t>
      </w:r>
    </w:p>
    <w:p w14:paraId="357F68E3" w14:textId="77777777" w:rsidR="00AC3C94"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73E7967E"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2023年财政拨款“三公”经费预算294.31万元，比2022年财政拨款“三公”经费预算增加39.45万元。其中：</w:t>
      </w:r>
    </w:p>
    <w:p w14:paraId="16854B4C"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1.因公出国（境）费用。2023年预算数168.49万元，比2022年年初预算数177.35万元减少8.86万元，主要原因：落实政府“过紧日子”要求，进一步压减一般性支出。</w:t>
      </w:r>
    </w:p>
    <w:p w14:paraId="12A66F44"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2.公务接待费。2023年预算数0.00万元，与2022年持平。</w:t>
      </w:r>
    </w:p>
    <w:p w14:paraId="16073037" w14:textId="2A79C831" w:rsidR="00AC3C94" w:rsidRDefault="00000000">
      <w:pPr>
        <w:spacing w:line="560" w:lineRule="exact"/>
        <w:ind w:firstLineChars="200" w:firstLine="640"/>
      </w:pPr>
      <w:r>
        <w:rPr>
          <w:rFonts w:ascii="仿宋_GB2312" w:eastAsia="仿宋_GB2312" w:hint="eastAsia"/>
          <w:sz w:val="32"/>
          <w:szCs w:val="32"/>
        </w:rPr>
        <w:t>3.公务用车购置和运行维护费。2023年预算数125.82</w:t>
      </w:r>
      <w:r>
        <w:rPr>
          <w:rFonts w:ascii="仿宋_GB2312" w:eastAsia="仿宋_GB2312" w:hint="eastAsia"/>
          <w:sz w:val="32"/>
          <w:szCs w:val="32"/>
        </w:rPr>
        <w:lastRenderedPageBreak/>
        <w:t>万元，其中，公务用车购置费2023年预算数48.32万元，比2022年年初预算数0.00万元增加48.32万元，主要原因：根据实际需求更新</w:t>
      </w:r>
      <w:r w:rsidR="00725369">
        <w:rPr>
          <w:rFonts w:ascii="仿宋_GB2312" w:eastAsia="仿宋_GB2312" w:hint="eastAsia"/>
          <w:sz w:val="32"/>
          <w:szCs w:val="32"/>
        </w:rPr>
        <w:t>购置</w:t>
      </w:r>
      <w:r w:rsidR="007B7FA8">
        <w:rPr>
          <w:rFonts w:ascii="仿宋_GB2312" w:eastAsia="仿宋_GB2312" w:hint="eastAsia"/>
          <w:sz w:val="32"/>
          <w:szCs w:val="32"/>
        </w:rPr>
        <w:t>2辆</w:t>
      </w:r>
      <w:r>
        <w:rPr>
          <w:rFonts w:ascii="仿宋_GB2312" w:eastAsia="仿宋_GB2312" w:hint="eastAsia"/>
          <w:sz w:val="32"/>
          <w:szCs w:val="32"/>
        </w:rPr>
        <w:t>公务用车；公务用车运行维护费2023年预算数77.50万元，其中：公务用车燃油40.30万元，公务用车维修15.50万元，公务用车保险15.50万元，其他支出6.20万元，与2022年持平。</w:t>
      </w:r>
    </w:p>
    <w:p w14:paraId="2CD15D69" w14:textId="77777777" w:rsidR="00AC3C94"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76F95E28"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579E1CA4"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2023年首都师范大学政府采购预算总额29664.69万元，其中：政府采购货物预算6343.42万元，政府采购工程预算4152.46万元，政府采购服务预算19168.81万元。</w:t>
      </w:r>
    </w:p>
    <w:p w14:paraId="67BDA002"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70B06429"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2023年首都师范大学政府购买服务预算总额0.00万元。</w:t>
      </w:r>
    </w:p>
    <w:p w14:paraId="39FF6744"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1629649C"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14:paraId="4D058465"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67B4FAB8" w14:textId="77777777" w:rsidR="00AC3C94"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2023年，首都师范大学填报绩效目标的预算项目43个，占本单位本年预算项目43个的100%。填报绩效目标的项目支出预算27166.79万元，占本单位本年项目支出预算的100%。</w:t>
      </w:r>
    </w:p>
    <w:p w14:paraId="2503517E"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0B5A10CA" w14:textId="77777777" w:rsidR="00AC3C94" w:rsidRDefault="00000000">
      <w:pPr>
        <w:spacing w:line="560" w:lineRule="exact"/>
        <w:ind w:firstLineChars="150" w:firstLine="480"/>
        <w:rPr>
          <w:rFonts w:ascii="仿宋_GB2312" w:eastAsia="仿宋_GB2312"/>
          <w:sz w:val="32"/>
          <w:szCs w:val="32"/>
        </w:rPr>
      </w:pPr>
      <w:r>
        <w:rPr>
          <w:rFonts w:ascii="仿宋_GB2312" w:eastAsia="仿宋_GB2312" w:hint="eastAsia"/>
          <w:sz w:val="32"/>
          <w:szCs w:val="32"/>
        </w:rPr>
        <w:t>本单位2023年无重点行政事业性收费。</w:t>
      </w:r>
    </w:p>
    <w:p w14:paraId="1942C9D6" w14:textId="77777777" w:rsidR="00AC3C94"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3245CFEA" w14:textId="77777777" w:rsidR="00AC3C94"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3B460E30" w14:textId="77777777" w:rsidR="00AC3C94"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（七）国有资产占用情况说明</w:t>
      </w:r>
    </w:p>
    <w:p w14:paraId="099B1A89" w14:textId="77777777" w:rsidR="00AC3C9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int="eastAsia"/>
          <w:color w:val="000000"/>
          <w:sz w:val="32"/>
          <w:szCs w:val="32"/>
        </w:rPr>
        <w:t>截至2022年底，首都师范大学共有车辆69台，共计1916.17万元；单位价值50万元以上的通用设备373台（套），共计40123.76万元，单位价值100万元以上的专用设备26台（套）、共计4013.87万元。</w:t>
      </w:r>
    </w:p>
    <w:p w14:paraId="1E55BE1B" w14:textId="77777777" w:rsidR="00AC3C94"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5A6ADE75" w14:textId="77777777" w:rsidR="00AC3C94"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02325375" w14:textId="77777777" w:rsidR="00AC3C94"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5FB86227" w14:textId="77777777" w:rsidR="00AC3C94"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EA88735" w14:textId="77777777" w:rsidR="00AC3C94" w:rsidRDefault="00AC3C94">
      <w:pPr>
        <w:spacing w:line="560" w:lineRule="exact"/>
        <w:jc w:val="center"/>
        <w:rPr>
          <w:rFonts w:ascii="方正小标宋简体" w:eastAsia="方正小标宋简体"/>
          <w:color w:val="000000"/>
          <w:sz w:val="36"/>
          <w:szCs w:val="36"/>
        </w:rPr>
      </w:pPr>
    </w:p>
    <w:p w14:paraId="7D2B64B8" w14:textId="77777777" w:rsidR="00117E9F" w:rsidRDefault="00117E9F">
      <w:pPr>
        <w:spacing w:line="560" w:lineRule="exact"/>
        <w:jc w:val="center"/>
        <w:rPr>
          <w:rFonts w:ascii="方正小标宋简体" w:eastAsia="方正小标宋简体"/>
          <w:color w:val="000000"/>
          <w:sz w:val="36"/>
          <w:szCs w:val="36"/>
        </w:rPr>
        <w:sectPr w:rsidR="00117E9F">
          <w:pgSz w:w="11906" w:h="16838"/>
          <w:pgMar w:top="1440" w:right="1800" w:bottom="1440" w:left="1800" w:header="851" w:footer="992" w:gutter="0"/>
          <w:cols w:space="425"/>
          <w:docGrid w:type="lines" w:linePitch="312"/>
        </w:sectPr>
      </w:pPr>
    </w:p>
    <w:p w14:paraId="5257F902" w14:textId="77777777" w:rsidR="00AC3C94"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13F8AC34" w14:textId="77777777" w:rsidR="00AC3C94" w:rsidRDefault="00AC3C94">
      <w:pPr>
        <w:autoSpaceDE w:val="0"/>
        <w:autoSpaceDN w:val="0"/>
        <w:adjustRightInd w:val="0"/>
        <w:spacing w:line="560" w:lineRule="exact"/>
        <w:jc w:val="left"/>
        <w:rPr>
          <w:rFonts w:ascii="方正小标宋简体" w:eastAsia="方正小标宋简体"/>
          <w:color w:val="000000"/>
          <w:sz w:val="36"/>
          <w:szCs w:val="36"/>
        </w:rPr>
      </w:pPr>
    </w:p>
    <w:p w14:paraId="45F2FEA3" w14:textId="77777777" w:rsidR="00AC3C94" w:rsidRDefault="00000000">
      <w:pPr>
        <w:spacing w:line="560" w:lineRule="exact"/>
        <w:ind w:firstLineChars="200" w:firstLine="640"/>
      </w:pPr>
      <w:r>
        <w:rPr>
          <w:rFonts w:ascii="仿宋_GB2312" w:eastAsia="仿宋_GB2312" w:hint="eastAsia"/>
          <w:color w:val="000000"/>
          <w:sz w:val="32"/>
          <w:szCs w:val="32"/>
        </w:rPr>
        <w:t>附件：首都师范大学2023年度单位预算报表</w:t>
      </w:r>
      <w:r>
        <w:rPr>
          <w:rFonts w:ascii="仿宋_GB2312" w:eastAsia="仿宋_GB2312" w:cs="宋体" w:hint="eastAsia"/>
          <w:color w:val="000000"/>
          <w:kern w:val="0"/>
          <w:sz w:val="32"/>
          <w:szCs w:val="32"/>
          <w:lang w:val="zh-CN"/>
        </w:rPr>
        <w:t xml:space="preserve"> </w:t>
      </w:r>
    </w:p>
    <w:sectPr w:rsidR="00AC3C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928C2" w14:textId="77777777" w:rsidR="00BD0206" w:rsidRDefault="00BD0206">
      <w:r>
        <w:separator/>
      </w:r>
    </w:p>
  </w:endnote>
  <w:endnote w:type="continuationSeparator" w:id="0">
    <w:p w14:paraId="0B8DE762" w14:textId="77777777" w:rsidR="00BD0206" w:rsidRDefault="00BD0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144B" w14:textId="77777777" w:rsidR="00AC3C94"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70649B99" wp14:editId="5EB23DAF">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76F53B36" w14:textId="77777777" w:rsidR="00AC3C94"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70649B99"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76F53B36" w14:textId="77777777" w:rsidR="00AC3C94"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27F36FFE" w14:textId="77777777" w:rsidR="00AC3C94" w:rsidRDefault="00AC3C94">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0A358" w14:textId="77777777" w:rsidR="00BD0206" w:rsidRDefault="00BD0206">
      <w:r>
        <w:separator/>
      </w:r>
    </w:p>
  </w:footnote>
  <w:footnote w:type="continuationSeparator" w:id="0">
    <w:p w14:paraId="0A0360B0" w14:textId="77777777" w:rsidR="00BD0206" w:rsidRDefault="00BD02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E1EB"/>
    <w:multiLevelType w:val="singleLevel"/>
    <w:tmpl w:val="1E70E1EB"/>
    <w:lvl w:ilvl="0">
      <w:start w:val="2"/>
      <w:numFmt w:val="chineseCounting"/>
      <w:suff w:val="nothing"/>
      <w:lvlText w:val="（%1）"/>
      <w:lvlJc w:val="left"/>
      <w:rPr>
        <w:rFonts w:hint="eastAsia"/>
      </w:rPr>
    </w:lvl>
  </w:abstractNum>
  <w:num w:numId="1" w16cid:durableId="1424302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k3YzUxOTc2MTAyNGNjZTU1YWUwNTU5OGI2YTZkODUifQ=="/>
  </w:docVars>
  <w:rsids>
    <w:rsidRoot w:val="00D263AC"/>
    <w:rsid w:val="000D5231"/>
    <w:rsid w:val="00117E9F"/>
    <w:rsid w:val="0024780B"/>
    <w:rsid w:val="00260CEB"/>
    <w:rsid w:val="0035069B"/>
    <w:rsid w:val="00496AD8"/>
    <w:rsid w:val="00504E0A"/>
    <w:rsid w:val="005618CE"/>
    <w:rsid w:val="005E5B79"/>
    <w:rsid w:val="00725369"/>
    <w:rsid w:val="00735F10"/>
    <w:rsid w:val="007B7FA8"/>
    <w:rsid w:val="007F0AAF"/>
    <w:rsid w:val="00A16BB7"/>
    <w:rsid w:val="00A4324D"/>
    <w:rsid w:val="00AB174E"/>
    <w:rsid w:val="00AC3C94"/>
    <w:rsid w:val="00B21FA9"/>
    <w:rsid w:val="00BD0206"/>
    <w:rsid w:val="00CB45CC"/>
    <w:rsid w:val="00D126F2"/>
    <w:rsid w:val="00D263AC"/>
    <w:rsid w:val="00E315C1"/>
    <w:rsid w:val="00F40C1B"/>
    <w:rsid w:val="00FB11F2"/>
    <w:rsid w:val="00FD125B"/>
    <w:rsid w:val="02D56B00"/>
    <w:rsid w:val="09535A22"/>
    <w:rsid w:val="0A1165D8"/>
    <w:rsid w:val="1A0B3F72"/>
    <w:rsid w:val="21020737"/>
    <w:rsid w:val="224B60D4"/>
    <w:rsid w:val="26AF2470"/>
    <w:rsid w:val="2A0D73E2"/>
    <w:rsid w:val="2CBC21FB"/>
    <w:rsid w:val="2FC50E7C"/>
    <w:rsid w:val="30D465EE"/>
    <w:rsid w:val="395047B5"/>
    <w:rsid w:val="3BD70944"/>
    <w:rsid w:val="3CD96D40"/>
    <w:rsid w:val="419C7ECA"/>
    <w:rsid w:val="41A24995"/>
    <w:rsid w:val="424B2C42"/>
    <w:rsid w:val="42FB3958"/>
    <w:rsid w:val="455F0C25"/>
    <w:rsid w:val="46F019C0"/>
    <w:rsid w:val="491017DF"/>
    <w:rsid w:val="4B5501F6"/>
    <w:rsid w:val="501D79A8"/>
    <w:rsid w:val="53EA6940"/>
    <w:rsid w:val="545A24A8"/>
    <w:rsid w:val="55C41AF5"/>
    <w:rsid w:val="593367A9"/>
    <w:rsid w:val="60A709E9"/>
    <w:rsid w:val="65F85CC2"/>
    <w:rsid w:val="66BF59BA"/>
    <w:rsid w:val="68224EA5"/>
    <w:rsid w:val="688E499D"/>
    <w:rsid w:val="6C111246"/>
    <w:rsid w:val="6D4318D3"/>
    <w:rsid w:val="6D547969"/>
    <w:rsid w:val="71CC74D8"/>
    <w:rsid w:val="72E258D8"/>
    <w:rsid w:val="72FB050F"/>
    <w:rsid w:val="736312B3"/>
    <w:rsid w:val="7E3B4CBC"/>
    <w:rsid w:val="7EE127AD"/>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456A1"/>
  <w15:docId w15:val="{FEEB2842-C265-4E2E-B9B4-BEA83674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00" b="1" i="0" u="none" strike="noStrike" kern="1200" spc="0" normalizeH="0" baseline="0">
                <a:solidFill>
                  <a:schemeClr val="dk1">
                    <a:lumMod val="50000"/>
                    <a:lumOff val="50000"/>
                  </a:schemeClr>
                </a:solidFill>
                <a:latin typeface="+mj-lt"/>
                <a:ea typeface="+mj-ea"/>
                <a:cs typeface="+mj-cs"/>
              </a:defRPr>
            </a:pPr>
            <a:r>
              <a:rPr lang="zh-CN" altLang="en-US"/>
              <a:t>收入预算</a:t>
            </a:r>
          </a:p>
        </c:rich>
      </c:tx>
      <c:overlay val="0"/>
      <c:spPr>
        <a:noFill/>
        <a:ln>
          <a:noFill/>
        </a:ln>
        <a:effectLst/>
      </c:spPr>
      <c:txPr>
        <a:bodyPr rot="0" spcFirstLastPara="0" vertOverflow="ellipsis" vert="horz" wrap="square" anchor="ctr" anchorCtr="1"/>
        <a:lstStyle/>
        <a:p>
          <a:pPr defTabSz="914400">
            <a:defRPr lang="zh-CN" sz="1600" b="1" i="0" u="none" strike="noStrike" kern="1200" spc="0" normalizeH="0" baseline="0">
              <a:solidFill>
                <a:schemeClr val="dk1">
                  <a:lumMod val="50000"/>
                  <a:lumOff val="50000"/>
                </a:schemeClr>
              </a:solidFill>
              <a:latin typeface="+mj-lt"/>
              <a:ea typeface="+mj-ea"/>
              <a:cs typeface="+mj-cs"/>
            </a:defRPr>
          </a:pPr>
          <a:endParaRPr lang="zh-CN"/>
        </a:p>
      </c:txPr>
    </c:title>
    <c:autoTitleDeleted val="0"/>
    <c:plotArea>
      <c:layout/>
      <c:pieChart>
        <c:varyColors val="1"/>
        <c:ser>
          <c:idx val="0"/>
          <c:order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9CF8-4988-B1DC-7D282B863B7A}"/>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9CF8-4988-B1DC-7D282B863B7A}"/>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9CF8-4988-B1DC-7D282B863B7A}"/>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9CF8-4988-B1DC-7D282B863B7A}"/>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9CF8-4988-B1DC-7D282B863B7A}"/>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9CF8-4988-B1DC-7D282B863B7A}"/>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[工作簿1]Sheet1!$A$2:$A$7</c:f>
              <c:strCache>
                <c:ptCount val="6"/>
                <c:pt idx="0">
                  <c:v>一般公共预算拨款收入</c:v>
                </c:pt>
                <c:pt idx="1">
                  <c:v>财政专户管理资金收入</c:v>
                </c:pt>
                <c:pt idx="2">
                  <c:v>事业收入</c:v>
                </c:pt>
                <c:pt idx="3">
                  <c:v>附属单位上缴收入</c:v>
                </c:pt>
                <c:pt idx="4">
                  <c:v>其他收入</c:v>
                </c:pt>
                <c:pt idx="5">
                  <c:v>上年结转结余</c:v>
                </c:pt>
              </c:strCache>
            </c:strRef>
          </c:cat>
          <c:val>
            <c:numRef>
              <c:f>[工作簿1]Sheet1!$B$2:$B$7</c:f>
              <c:numCache>
                <c:formatCode>0.000000_ </c:formatCode>
                <c:ptCount val="6"/>
                <c:pt idx="0">
                  <c:v>166510.20227499999</c:v>
                </c:pt>
                <c:pt idx="1">
                  <c:v>18529.342898999999</c:v>
                </c:pt>
                <c:pt idx="2">
                  <c:v>24206.9</c:v>
                </c:pt>
                <c:pt idx="3">
                  <c:v>2250</c:v>
                </c:pt>
                <c:pt idx="4">
                  <c:v>7400</c:v>
                </c:pt>
                <c:pt idx="5">
                  <c:v>8509.2290479999992</c:v>
                </c:pt>
              </c:numCache>
            </c:numRef>
          </c:val>
          <c:extLst>
            <c:ext xmlns:c16="http://schemas.microsoft.com/office/drawing/2014/chart" uri="{C3380CC4-5D6E-409C-BE32-E72D297353CC}">
              <c16:uniqueId val="{0000000C-9CF8-4988-B1DC-7D282B863B7A}"/>
            </c:ext>
          </c:extLst>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dk1">
                    <a:lumMod val="65000"/>
                    <a:lumOff val="35000"/>
                  </a:schemeClr>
                </a:solidFill>
                <a:latin typeface="+mn-lt"/>
                <a:ea typeface="+mn-ea"/>
                <a:cs typeface="+mn-cs"/>
              </a:defRPr>
            </a:pPr>
            <a:r>
              <a:rPr lang="zh-CN" altLang="en-US"/>
              <a:t>基本支出和项目支出情况</a:t>
            </a:r>
          </a:p>
        </c:rich>
      </c:tx>
      <c:overlay val="0"/>
      <c:spPr>
        <a:noFill/>
        <a:ln>
          <a:noFill/>
        </a:ln>
        <a:effectLst/>
      </c:spPr>
      <c:txPr>
        <a:bodyPr rot="0" spcFirstLastPara="0" vertOverflow="ellipsis" vert="horz" wrap="square" anchor="ctr" anchorCtr="1"/>
        <a:lstStyle/>
        <a:p>
          <a:pPr defTabSz="914400">
            <a:defRPr lang="zh-CN" sz="1800" b="1" i="0" u="none" strike="noStrike" kern="1200" baseline="0">
              <a:solidFill>
                <a:schemeClr val="dk1">
                  <a:lumMod val="65000"/>
                  <a:lumOff val="35000"/>
                </a:schemeClr>
              </a:solidFill>
              <a:latin typeface="+mn-lt"/>
              <a:ea typeface="+mn-ea"/>
              <a:cs typeface="+mn-cs"/>
            </a:defRPr>
          </a:pPr>
          <a:endParaRPr lang="zh-CN"/>
        </a:p>
      </c:tx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4ACB-470F-A385-B3558B5DA3A0}"/>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4ACB-470F-A385-B3558B5DA3A0}"/>
              </c:ext>
            </c:extLst>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[工作簿1]Sheet3!$A$2:$A$3</c:f>
              <c:strCache>
                <c:ptCount val="2"/>
                <c:pt idx="0">
                  <c:v>基本支出</c:v>
                </c:pt>
                <c:pt idx="1">
                  <c:v>项目支出</c:v>
                </c:pt>
              </c:strCache>
            </c:strRef>
          </c:cat>
          <c:val>
            <c:numRef>
              <c:f>[工作簿1]Sheet3!$B$2:$B$3</c:f>
              <c:numCache>
                <c:formatCode>0.000000_ </c:formatCode>
                <c:ptCount val="2"/>
                <c:pt idx="0">
                  <c:v>192729.652474</c:v>
                </c:pt>
                <c:pt idx="1">
                  <c:v>34676.021747999999</c:v>
                </c:pt>
              </c:numCache>
            </c:numRef>
          </c:val>
          <c:extLst>
            <c:ext xmlns:c16="http://schemas.microsoft.com/office/drawing/2014/chart" uri="{C3380CC4-5D6E-409C-BE32-E72D297353CC}">
              <c16:uniqueId val="{00000004-4ACB-470F-A385-B3558B5DA3A0}"/>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solidFill>
          <a:schemeClr val="lt1">
            <a:alpha val="78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65000"/>
                  <a:lumOff val="35000"/>
                </a:schemeClr>
              </a:solidFill>
              <a:latin typeface="+mn-lt"/>
              <a:ea typeface="+mn-ea"/>
              <a:cs typeface="+mn-cs"/>
            </a:defRPr>
          </a:pPr>
          <a:endParaRPr lang="zh-CN"/>
        </a:p>
      </c:txPr>
    </c:legend>
    <c:plotVisOnly val="1"/>
    <c:dispBlanksAs val="gap"/>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E8EAB142-922A-4F3E-80FA-B9E46F5F779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16</cp:revision>
  <dcterms:created xsi:type="dcterms:W3CDTF">2023-02-15T02:41:00Z</dcterms:created>
  <dcterms:modified xsi:type="dcterms:W3CDTF">2023-03-08T03:49:00Z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C7EF40566F19431395D679295658B419</vt:lpwstr>
  </property>
</Properties>
</file>