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 xml:space="preserve">       </w:t>
      </w:r>
    </w:p>
    <w:p>
      <w:pPr>
        <w:spacing w:line="480" w:lineRule="exact"/>
        <w:rPr>
          <w:rFonts w:ascii="微软雅黑" w:hAnsi="黑体" w:eastAsia="微软雅黑"/>
          <w:sz w:val="36"/>
          <w:szCs w:val="36"/>
        </w:rPr>
      </w:pPr>
      <w:r>
        <w:rPr>
          <w:rFonts w:hint="eastAsia" w:ascii="微软雅黑" w:eastAsia="微软雅黑"/>
          <w:sz w:val="36"/>
          <w:szCs w:val="36"/>
        </w:rPr>
        <w:t xml:space="preserve">                </w:t>
      </w:r>
      <w:r>
        <w:rPr>
          <w:rFonts w:hint="eastAsia" w:ascii="微软雅黑" w:hAnsi="黑体" w:eastAsia="微软雅黑"/>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w:t>
      </w:r>
      <w:r>
        <w:rPr>
          <w:rFonts w:ascii="仿宋_GB2312" w:hAnsi="宋体" w:eastAsia="仿宋_GB2312"/>
          <w:sz w:val="28"/>
          <w:szCs w:val="28"/>
        </w:rPr>
        <w:t>2</w:t>
      </w:r>
      <w:r>
        <w:rPr>
          <w:rFonts w:hint="eastAsia" w:ascii="仿宋_GB2312" w:hAnsi="宋体" w:eastAsia="仿宋_GB2312"/>
          <w:sz w:val="28"/>
          <w:szCs w:val="28"/>
        </w:rPr>
        <w:t>年度）</w:t>
      </w:r>
    </w:p>
    <w:p>
      <w:pPr>
        <w:spacing w:line="240" w:lineRule="exact"/>
        <w:rPr>
          <w:rFonts w:ascii="仿宋_GB2312" w:hAnsi="宋体" w:eastAsia="仿宋_GB2312"/>
          <w:sz w:val="30"/>
          <w:szCs w:val="30"/>
        </w:rPr>
      </w:pPr>
    </w:p>
    <w:tbl>
      <w:tblPr>
        <w:tblStyle w:val="4"/>
        <w:tblW w:w="8937"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609"/>
      </w:tblGrid>
      <w:tr>
        <w:tblPrEx>
          <w:tblCellMar>
            <w:top w:w="0" w:type="dxa"/>
            <w:left w:w="108" w:type="dxa"/>
            <w:bottom w:w="0" w:type="dxa"/>
            <w:right w:w="108" w:type="dxa"/>
          </w:tblCellMar>
        </w:tblPrEx>
        <w:trPr>
          <w:trHeight w:val="459"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项目名称</w:t>
            </w:r>
          </w:p>
        </w:tc>
        <w:tc>
          <w:tcPr>
            <w:tcW w:w="7377"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bookmarkStart w:id="0" w:name="_GoBack"/>
            <w:bookmarkEnd w:id="0"/>
            <w:r>
              <w:rPr>
                <w:rFonts w:hint="eastAsia" w:ascii="宋体" w:hAnsi="宋体" w:cs="宋体"/>
                <w:kern w:val="0"/>
                <w:szCs w:val="21"/>
              </w:rPr>
              <w:t>11000022T000000440375-直属单位业务发展-社会大课堂资源单位服务能力提升</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北京市教育委员会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实施单位</w:t>
            </w:r>
          </w:p>
        </w:tc>
        <w:tc>
          <w:tcPr>
            <w:tcW w:w="215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北京市少年宫</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高付元</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联系电话</w:t>
            </w:r>
          </w:p>
        </w:tc>
        <w:tc>
          <w:tcPr>
            <w:tcW w:w="215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13693120201</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项目资金</w:t>
            </w:r>
            <w:r>
              <w:rPr>
                <w:rFonts w:hint="eastAsia" w:ascii="宋体" w:hAnsi="宋体" w:cs="宋体"/>
                <w:kern w:val="0"/>
                <w:szCs w:val="21"/>
              </w:rPr>
              <w:br w:type="textWrapping"/>
            </w:r>
            <w:r>
              <w:rPr>
                <w:rFonts w:hint="eastAsia" w:ascii="宋体" w:hAnsi="宋体"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年初预</w:t>
            </w:r>
          </w:p>
          <w:p>
            <w:pPr>
              <w:widowControl/>
              <w:spacing w:line="240" w:lineRule="exact"/>
              <w:jc w:val="center"/>
              <w:rPr>
                <w:rFonts w:ascii="宋体" w:hAnsi="宋体" w:cs="宋体"/>
                <w:kern w:val="0"/>
                <w:szCs w:val="21"/>
              </w:rPr>
            </w:pPr>
            <w:r>
              <w:rPr>
                <w:rFonts w:hint="eastAsia" w:ascii="宋体" w:hAnsi="宋体" w:cs="宋体"/>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全年预</w:t>
            </w:r>
          </w:p>
          <w:p>
            <w:pPr>
              <w:widowControl/>
              <w:spacing w:line="240" w:lineRule="exact"/>
              <w:jc w:val="center"/>
              <w:rPr>
                <w:rFonts w:ascii="宋体" w:hAnsi="宋体" w:cs="宋体"/>
                <w:kern w:val="0"/>
                <w:szCs w:val="21"/>
              </w:rPr>
            </w:pPr>
            <w:r>
              <w:rPr>
                <w:rFonts w:hint="eastAsia" w:ascii="宋体" w:hAnsi="宋体" w:cs="宋体"/>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全年</w:t>
            </w:r>
          </w:p>
          <w:p>
            <w:pPr>
              <w:widowControl/>
              <w:spacing w:line="240" w:lineRule="exact"/>
              <w:jc w:val="center"/>
              <w:rPr>
                <w:rFonts w:ascii="宋体" w:hAnsi="宋体" w:cs="宋体"/>
                <w:kern w:val="0"/>
                <w:szCs w:val="21"/>
              </w:rPr>
            </w:pPr>
            <w:r>
              <w:rPr>
                <w:rFonts w:hint="eastAsia" w:ascii="宋体" w:hAnsi="宋体"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执行率</w:t>
            </w:r>
          </w:p>
        </w:tc>
        <w:tc>
          <w:tcPr>
            <w:tcW w:w="6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得分</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Cs w:val="21"/>
              </w:rPr>
            </w:pPr>
            <w:r>
              <w:rPr>
                <w:rFonts w:hint="eastAsia" w:ascii="宋体" w:hAnsi="宋体"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szCs w:val="21"/>
              </w:rPr>
              <w:t>30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6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其中：当年财政</w:t>
            </w:r>
          </w:p>
          <w:p>
            <w:pPr>
              <w:widowControl/>
              <w:spacing w:line="240" w:lineRule="exact"/>
              <w:jc w:val="center"/>
              <w:rPr>
                <w:rFonts w:ascii="宋体" w:hAnsi="宋体" w:cs="宋体"/>
                <w:kern w:val="0"/>
                <w:szCs w:val="21"/>
              </w:rPr>
            </w:pPr>
            <w:r>
              <w:rPr>
                <w:rFonts w:hint="eastAsia" w:ascii="宋体" w:hAnsi="宋体"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w:t>
            </w:r>
          </w:p>
        </w:tc>
        <w:tc>
          <w:tcPr>
            <w:tcW w:w="6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Cs w:val="21"/>
              </w:rPr>
            </w:pPr>
            <w:r>
              <w:rPr>
                <w:rFonts w:hint="eastAsia" w:ascii="宋体" w:hAnsi="宋体"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60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w:t>
            </w:r>
          </w:p>
        </w:tc>
      </w:tr>
      <w:tr>
        <w:tblPrEx>
          <w:tblCellMar>
            <w:top w:w="0" w:type="dxa"/>
            <w:left w:w="108" w:type="dxa"/>
            <w:bottom w:w="0" w:type="dxa"/>
            <w:right w:w="108" w:type="dxa"/>
          </w:tblCellMar>
        </w:tblPrEx>
        <w:trPr>
          <w:trHeight w:val="47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预期目标</w:t>
            </w:r>
          </w:p>
        </w:tc>
        <w:tc>
          <w:tcPr>
            <w:tcW w:w="328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实际完成情况</w:t>
            </w:r>
          </w:p>
        </w:tc>
      </w:tr>
      <w:tr>
        <w:tblPrEx>
          <w:tblCellMar>
            <w:top w:w="0" w:type="dxa"/>
            <w:left w:w="108" w:type="dxa"/>
            <w:bottom w:w="0" w:type="dxa"/>
            <w:right w:w="108" w:type="dxa"/>
          </w:tblCellMar>
        </w:tblPrEx>
        <w:trPr>
          <w:trHeight w:val="794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rPr>
                <w:rFonts w:ascii="宋体" w:hAnsi="宋体" w:cs="宋体"/>
                <w:szCs w:val="21"/>
              </w:rPr>
            </w:pPr>
            <w:r>
              <w:rPr>
                <w:rFonts w:hint="eastAsia" w:ascii="宋体" w:hAnsi="宋体" w:cs="宋体"/>
                <w:szCs w:val="21"/>
              </w:rPr>
              <w:t xml:space="preserve">（1）社会大课堂基地建设与运营指导。组织相关人员完成资源单位业务能力调研，并形成调研报告。完成《2022年社会大课堂工作简讯》编印。 （2）社会大课堂实践成果交流与展示。开展社会大课堂教师成果评选展示交流活动；组织开展博物馆教育研讨活动。 （3）“四个一”活动及研学基地运行管理。完成“四个一”工作手册的编制；开展4次“四个一”场馆活动观摩及指导。通过开展研学基地互评互检工作加强研学基地业务能力。 </w:t>
            </w:r>
          </w:p>
        </w:tc>
        <w:tc>
          <w:tcPr>
            <w:tcW w:w="3286" w:type="dxa"/>
            <w:gridSpan w:val="7"/>
            <w:tcBorders>
              <w:top w:val="single" w:color="auto" w:sz="4" w:space="0"/>
              <w:left w:val="nil"/>
              <w:bottom w:val="single" w:color="auto" w:sz="4" w:space="0"/>
              <w:right w:val="single" w:color="auto" w:sz="4" w:space="0"/>
            </w:tcBorders>
            <w:vAlign w:val="center"/>
          </w:tcPr>
          <w:p>
            <w:pPr>
              <w:widowControl/>
              <w:numPr>
                <w:ilvl w:val="0"/>
                <w:numId w:val="1"/>
              </w:numPr>
              <w:spacing w:line="240" w:lineRule="exact"/>
              <w:rPr>
                <w:rFonts w:ascii="宋体" w:hAnsi="宋体" w:cs="宋体"/>
                <w:szCs w:val="21"/>
              </w:rPr>
            </w:pPr>
            <w:r>
              <w:rPr>
                <w:rFonts w:hint="eastAsia" w:ascii="宋体" w:hAnsi="宋体" w:cs="宋体"/>
                <w:szCs w:val="21"/>
              </w:rPr>
              <w:t>完成社会大课堂基地建设与运营指导。组织相关人员完成资源单位业务能力调研，并形成调研报告。完成本年度社会大课堂工作简讯上下两刊编辑发行，完成上、下半年两期《社会大课堂简讯》编印工作，按照计划征稿、组稿、的业务交流与学习，开展社会大课堂管理水平提升工作。</w:t>
            </w:r>
          </w:p>
          <w:p>
            <w:pPr>
              <w:widowControl/>
              <w:numPr>
                <w:ilvl w:val="0"/>
                <w:numId w:val="1"/>
              </w:numPr>
              <w:spacing w:line="240" w:lineRule="exact"/>
              <w:rPr>
                <w:rFonts w:ascii="宋体" w:hAnsi="宋体" w:cs="宋体"/>
                <w:kern w:val="0"/>
                <w:szCs w:val="21"/>
              </w:rPr>
            </w:pPr>
            <w:r>
              <w:rPr>
                <w:rFonts w:hint="eastAsia" w:ascii="宋体" w:hAnsi="宋体" w:cs="宋体"/>
                <w:szCs w:val="21"/>
              </w:rPr>
              <w:t>完成社会大课堂实践成果交流与展示。组织开展了社会大课堂教师成果评选展示交流活动；组织开展博物馆教育研讨活动。编印了《社会大课堂教育成果--优秀师生成果集》《博物馆教育研讨活动优秀成果及》优秀成果集，召开了活动总结会。推广优秀教育成果与经验交流，促进了教师成长，提升了学生学习质量。</w:t>
            </w:r>
          </w:p>
          <w:p>
            <w:pPr>
              <w:widowControl/>
              <w:numPr>
                <w:ilvl w:val="0"/>
                <w:numId w:val="1"/>
              </w:numPr>
              <w:spacing w:line="240" w:lineRule="exact"/>
              <w:rPr>
                <w:rFonts w:ascii="宋体" w:hAnsi="宋体" w:cs="宋体"/>
                <w:kern w:val="0"/>
                <w:szCs w:val="21"/>
              </w:rPr>
            </w:pPr>
            <w:r>
              <w:rPr>
                <w:rFonts w:hint="eastAsia" w:ascii="宋体" w:hAnsi="宋体" w:cs="宋体"/>
                <w:szCs w:val="21"/>
              </w:rPr>
              <w:t>完成“四个一”活动及研学基地运行管理。根据“四个一”活动新的变化与要求，编印2022年工作手册，包含运转和管理模式、活动流程、活动内容、学习任务单等内容，发放到中小学校、资源单位、大课堂建设部门、区教委、大课堂办公室。完成4次“四个一”场馆（中国人民革命军事博物馆、中国人民抗日战争纪念馆、中国国家博物馆、首都博物馆）活动观摩及指导工作。完成研学基地互评互检工作。通过开展研学基地互评互检工作加强研学基地业务能力。</w:t>
            </w:r>
          </w:p>
        </w:tc>
      </w:tr>
      <w:tr>
        <w:tblPrEx>
          <w:tblCellMar>
            <w:top w:w="0" w:type="dxa"/>
            <w:left w:w="108" w:type="dxa"/>
            <w:bottom w:w="0" w:type="dxa"/>
            <w:right w:w="108" w:type="dxa"/>
          </w:tblCellMar>
        </w:tblPrEx>
        <w:trPr>
          <w:trHeight w:val="825"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绩</w:t>
            </w:r>
            <w:r>
              <w:rPr>
                <w:rFonts w:hint="eastAsia" w:ascii="宋体" w:hAnsi="宋体" w:cs="宋体"/>
                <w:kern w:val="0"/>
                <w:szCs w:val="21"/>
              </w:rPr>
              <w:br w:type="textWrapping"/>
            </w:r>
            <w:r>
              <w:rPr>
                <w:rFonts w:hint="eastAsia" w:ascii="宋体" w:hAnsi="宋体" w:cs="宋体"/>
                <w:kern w:val="0"/>
                <w:szCs w:val="21"/>
              </w:rPr>
              <w:t>效</w:t>
            </w:r>
            <w:r>
              <w:rPr>
                <w:rFonts w:hint="eastAsia" w:ascii="宋体" w:hAnsi="宋体" w:cs="宋体"/>
                <w:kern w:val="0"/>
                <w:szCs w:val="21"/>
              </w:rPr>
              <w:br w:type="textWrapping"/>
            </w:r>
            <w:r>
              <w:rPr>
                <w:rFonts w:hint="eastAsia" w:ascii="宋体" w:hAnsi="宋体" w:cs="宋体"/>
                <w:kern w:val="0"/>
                <w:szCs w:val="21"/>
              </w:rPr>
              <w:t>指</w:t>
            </w:r>
            <w:r>
              <w:rPr>
                <w:rFonts w:hint="eastAsia" w:ascii="宋体" w:hAnsi="宋体" w:cs="宋体"/>
                <w:kern w:val="0"/>
                <w:szCs w:val="21"/>
              </w:rPr>
              <w:br w:type="textWrapping"/>
            </w:r>
            <w:r>
              <w:rPr>
                <w:rFonts w:hint="eastAsia" w:ascii="宋体" w:hAnsi="宋体"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年度</w:t>
            </w:r>
          </w:p>
          <w:p>
            <w:pPr>
              <w:widowControl/>
              <w:spacing w:line="240" w:lineRule="exact"/>
              <w:jc w:val="center"/>
              <w:rPr>
                <w:rFonts w:ascii="宋体" w:hAnsi="宋体" w:cs="宋体"/>
                <w:kern w:val="0"/>
                <w:szCs w:val="21"/>
              </w:rPr>
            </w:pPr>
            <w:r>
              <w:rPr>
                <w:rFonts w:hint="eastAsia" w:ascii="宋体" w:hAnsi="宋体" w:cs="宋体"/>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实际</w:t>
            </w:r>
          </w:p>
          <w:p>
            <w:pPr>
              <w:widowControl/>
              <w:spacing w:line="240" w:lineRule="exact"/>
              <w:jc w:val="center"/>
              <w:rPr>
                <w:rFonts w:ascii="宋体" w:hAnsi="宋体" w:cs="宋体"/>
                <w:kern w:val="0"/>
                <w:szCs w:val="21"/>
              </w:rPr>
            </w:pPr>
            <w:r>
              <w:rPr>
                <w:rFonts w:hint="eastAsia" w:ascii="宋体" w:hAnsi="宋体"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得分</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偏差原因分析及改进</w:t>
            </w:r>
          </w:p>
          <w:p>
            <w:pPr>
              <w:widowControl/>
              <w:spacing w:line="240" w:lineRule="exact"/>
              <w:jc w:val="center"/>
              <w:rPr>
                <w:rFonts w:ascii="宋体" w:hAnsi="宋体" w:cs="宋体"/>
                <w:kern w:val="0"/>
                <w:szCs w:val="21"/>
              </w:rPr>
            </w:pPr>
            <w:r>
              <w:rPr>
                <w:rFonts w:hint="eastAsia" w:ascii="宋体" w:hAnsi="宋体" w:cs="宋体"/>
                <w:kern w:val="0"/>
                <w:szCs w:val="21"/>
              </w:rPr>
              <w:t>措施</w:t>
            </w:r>
          </w:p>
        </w:tc>
      </w:tr>
      <w:tr>
        <w:tblPrEx>
          <w:tblCellMar>
            <w:top w:w="0" w:type="dxa"/>
            <w:left w:w="108" w:type="dxa"/>
            <w:bottom w:w="0" w:type="dxa"/>
            <w:right w:w="108" w:type="dxa"/>
          </w:tblCellMar>
        </w:tblPrEx>
        <w:trPr>
          <w:trHeight w:val="4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社会大课堂工作简讯</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1400册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1400册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52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2022年社会大课堂师生成果集</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500册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500册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4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证书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1000张</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1000张</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5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博物馆教育研讨成果集</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500册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500册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67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“四个一”工作手册</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700册</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700册</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10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资源单位业务能力调研</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符合调研报告标准学术规范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647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社会大课堂教师成果评选展示交流</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kern w:val="0"/>
                <w:szCs w:val="21"/>
              </w:rPr>
            </w:pPr>
            <w:r>
              <w:rPr>
                <w:rFonts w:hint="eastAsia" w:ascii="宋体" w:hAnsi="宋体" w:cs="宋体"/>
                <w:kern w:val="0"/>
                <w:szCs w:val="21"/>
              </w:rPr>
              <w:t>优秀成果反映出中小学校教师和社会大课堂资源单位教育专员积极利用大课堂资源，面向全体学生开展有教育质量的社会实践活动的探索成效，体现了社会实践大课堂独特育人效果果。</w:t>
            </w: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29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博物馆教育研讨交流</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Cs w:val="21"/>
              </w:rPr>
            </w:pPr>
            <w:r>
              <w:rPr>
                <w:rFonts w:hint="eastAsia" w:ascii="宋体" w:hAnsi="宋体" w:cs="宋体"/>
                <w:kern w:val="0"/>
                <w:szCs w:val="21"/>
              </w:rPr>
              <w:t>活动反映出中小学校教师和社会大课堂资源单位教育专员，积极利用博物馆资源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Cs w:val="21"/>
              </w:rPr>
            </w:pPr>
            <w:r>
              <w:rPr>
                <w:rFonts w:hint="eastAsia" w:ascii="宋体" w:hAnsi="宋体"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37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面向全体学生开展有教育质量社会实践活动的探索成效，体现新时代博物馆教育的新思路、新方法。</w:t>
            </w:r>
          </w:p>
          <w:p>
            <w:pPr>
              <w:widowControl/>
              <w:spacing w:line="240" w:lineRule="exact"/>
              <w:jc w:val="center"/>
              <w:rPr>
                <w:rFonts w:ascii="宋体" w:hAnsi="宋体"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1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研学基（营）地互评互检</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完成10家基地，1家营地的互评互检工作。</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50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社会大课堂基地建设与运营指导</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3—11月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4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社会大课堂教师成果评选展示交流</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9—11月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5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博物馆教育研讨交流</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4—11月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64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“四个一”活动及研学基地运行管理</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≤12月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3—11月</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kern w:val="0"/>
                <w:szCs w:val="21"/>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=30万</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30万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2</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60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社会效益</w:t>
            </w:r>
          </w:p>
          <w:p>
            <w:pPr>
              <w:widowControl/>
              <w:spacing w:line="240" w:lineRule="exact"/>
              <w:jc w:val="center"/>
              <w:rPr>
                <w:rFonts w:ascii="宋体" w:hAnsi="宋体" w:cs="宋体"/>
                <w:kern w:val="0"/>
                <w:szCs w:val="21"/>
              </w:rPr>
            </w:pPr>
            <w:r>
              <w:rPr>
                <w:rFonts w:hint="eastAsia" w:ascii="宋体" w:hAnsi="宋体"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覆盖全部服务对象</w:t>
            </w:r>
          </w:p>
        </w:tc>
        <w:tc>
          <w:tcPr>
            <w:tcW w:w="849" w:type="dxa"/>
            <w:tcBorders>
              <w:top w:val="single" w:color="auto" w:sz="4" w:space="0"/>
              <w:left w:val="nil"/>
              <w:bottom w:val="single" w:color="auto" w:sz="4" w:space="0"/>
              <w:right w:val="single" w:color="auto" w:sz="4" w:space="0"/>
            </w:tcBorders>
            <w:vAlign w:val="center"/>
          </w:tcPr>
          <w:p>
            <w:pPr>
              <w:jc w:val="left"/>
              <w:rPr>
                <w:rFonts w:ascii="宋体" w:hAnsi="宋体" w:cs="宋体"/>
                <w:szCs w:val="21"/>
              </w:rPr>
            </w:pPr>
            <w:r>
              <w:rPr>
                <w:rFonts w:hint="eastAsia" w:ascii="宋体" w:hAnsi="宋体"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Cs w:val="21"/>
              </w:rPr>
            </w:pPr>
            <w:r>
              <w:rPr>
                <w:rFonts w:hint="eastAsia" w:ascii="宋体" w:hAnsi="宋体" w:cs="宋体"/>
                <w:kern w:val="0"/>
                <w:szCs w:val="21"/>
              </w:rPr>
              <w:t>更好地满足学校开展实践教育改革需要；培育优质社会大课堂资源单位不断提升服务教育改革能力；发挥示范引领社会教育作用，推进社会主义核心价值观教育不断深化。</w:t>
            </w:r>
          </w:p>
          <w:p>
            <w:pPr>
              <w:widowControl/>
              <w:spacing w:line="240" w:lineRule="exact"/>
              <w:ind w:firstLine="241"/>
              <w:rPr>
                <w:rFonts w:ascii="宋体" w:hAnsi="宋体"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12</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因疫情原因活动覆盖面受到一定影响。今后加强活动形式的拓展，以应对各种情况的发生。</w:t>
            </w:r>
          </w:p>
        </w:tc>
      </w:tr>
      <w:tr>
        <w:tblPrEx>
          <w:tblCellMar>
            <w:top w:w="0" w:type="dxa"/>
            <w:left w:w="108" w:type="dxa"/>
            <w:bottom w:w="0" w:type="dxa"/>
            <w:right w:w="108" w:type="dxa"/>
          </w:tblCellMar>
        </w:tblPrEx>
        <w:trPr>
          <w:trHeight w:val="12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生态效益</w:t>
            </w:r>
          </w:p>
          <w:p>
            <w:pPr>
              <w:widowControl/>
              <w:spacing w:line="240" w:lineRule="exact"/>
              <w:jc w:val="center"/>
              <w:rPr>
                <w:rFonts w:ascii="宋体" w:hAnsi="宋体" w:cs="宋体"/>
                <w:kern w:val="0"/>
                <w:szCs w:val="21"/>
              </w:rPr>
            </w:pPr>
            <w:r>
              <w:rPr>
                <w:rFonts w:hint="eastAsia" w:ascii="宋体" w:hAnsi="宋体"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符合生态发展理念</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符合生态发展理念</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5</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434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有助于拓宽实践教育资源，实现教育可持续发展。</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高中低</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在一定范围内实现教育可持续发展，逐步形成北京经验，发挥首都教育在全国的影响力，推动基础教育改革不断深化。</w:t>
            </w:r>
          </w:p>
          <w:p>
            <w:pPr>
              <w:widowControl/>
              <w:spacing w:line="240" w:lineRule="exact"/>
              <w:jc w:val="center"/>
              <w:rPr>
                <w:rFonts w:ascii="宋体" w:hAnsi="宋体"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6</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因疫情原因，活动持续发展方面受到一定影响。今后进一步加强活动顶层设计与组织协调，疫情防控的常态化和教育秩序的正常化，社会教育发展一定会得到进一步的促进。</w:t>
            </w:r>
          </w:p>
        </w:tc>
      </w:tr>
      <w:tr>
        <w:tblPrEx>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满意度</w:t>
            </w:r>
          </w:p>
          <w:p>
            <w:pPr>
              <w:widowControl/>
              <w:spacing w:line="240" w:lineRule="exact"/>
              <w:jc w:val="center"/>
              <w:rPr>
                <w:rFonts w:ascii="宋体" w:hAnsi="宋体" w:cs="宋体"/>
                <w:kern w:val="0"/>
                <w:szCs w:val="21"/>
              </w:rPr>
            </w:pPr>
            <w:r>
              <w:rPr>
                <w:rFonts w:hint="eastAsia" w:ascii="宋体" w:hAnsi="宋体"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cs="宋体"/>
                <w:color w:val="000000"/>
                <w:kern w:val="0"/>
                <w:szCs w:val="21"/>
              </w:rPr>
            </w:pPr>
            <w:r>
              <w:rPr>
                <w:rFonts w:hint="eastAsia" w:ascii="宋体" w:hAnsi="宋体" w:cs="宋体"/>
                <w:color w:val="000000"/>
                <w:kern w:val="0"/>
                <w:szCs w:val="21"/>
              </w:rPr>
              <w:t>各区社会大课堂管理办公室满意度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90%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r>
              <w:rPr>
                <w:rFonts w:hint="eastAsia" w:ascii="宋体" w:hAnsi="宋体" w:cs="宋体"/>
                <w:kern w:val="0"/>
                <w:szCs w:val="21"/>
              </w:rPr>
              <w:t>10</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Cs w:val="21"/>
              </w:rPr>
            </w:pPr>
            <w:r>
              <w:rPr>
                <w:rFonts w:hint="eastAsia" w:ascii="宋体" w:hAnsi="宋体"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Cs w:val="21"/>
              </w:rPr>
            </w:pPr>
            <w:r>
              <w:rPr>
                <w:rFonts w:hint="eastAsia" w:ascii="宋体" w:hAnsi="宋体"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Cs w:val="21"/>
              </w:rPr>
            </w:pPr>
            <w:r>
              <w:rPr>
                <w:rFonts w:hint="eastAsia" w:ascii="宋体" w:hAnsi="宋体" w:cs="宋体"/>
                <w:color w:val="000000"/>
                <w:kern w:val="0"/>
                <w:szCs w:val="21"/>
              </w:rPr>
              <w:t>93</w:t>
            </w:r>
          </w:p>
        </w:tc>
        <w:tc>
          <w:tcPr>
            <w:tcW w:w="131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Cs w:val="21"/>
              </w:rPr>
            </w:pPr>
          </w:p>
        </w:tc>
      </w:tr>
    </w:tbl>
    <w:p>
      <w:pPr>
        <w:rPr>
          <w:rFonts w:ascii="仿宋_GB2312" w:eastAsia="仿宋_GB2312"/>
          <w:vanish/>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B00330-0261-4174-AF11-AB7EE50CC7F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embedRegular r:id="rId2" w:fontKey="{81614162-C343-47D9-929F-7A8947E99166}"/>
  </w:font>
  <w:font w:name="仿宋_GB2312">
    <w:panose1 w:val="02010609030101010101"/>
    <w:charset w:val="86"/>
    <w:family w:val="modern"/>
    <w:pitch w:val="default"/>
    <w:sig w:usb0="00000001" w:usb1="080E0000" w:usb2="00000000" w:usb3="00000000" w:csb0="00040000" w:csb1="00000000"/>
    <w:embedRegular r:id="rId3" w:fontKey="{30F3A602-2C24-42DA-846B-DE65787D69A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A10417"/>
    <w:multiLevelType w:val="singleLevel"/>
    <w:tmpl w:val="9EA1041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00512C82"/>
    <w:rsid w:val="000417BB"/>
    <w:rsid w:val="00057D9B"/>
    <w:rsid w:val="000A3E67"/>
    <w:rsid w:val="000D717C"/>
    <w:rsid w:val="001366D4"/>
    <w:rsid w:val="00147967"/>
    <w:rsid w:val="0015216E"/>
    <w:rsid w:val="00153BE4"/>
    <w:rsid w:val="00156684"/>
    <w:rsid w:val="0016464F"/>
    <w:rsid w:val="001871A8"/>
    <w:rsid w:val="00226AC5"/>
    <w:rsid w:val="002D7454"/>
    <w:rsid w:val="003435ED"/>
    <w:rsid w:val="0035005F"/>
    <w:rsid w:val="00365464"/>
    <w:rsid w:val="00374413"/>
    <w:rsid w:val="003D0711"/>
    <w:rsid w:val="0045622B"/>
    <w:rsid w:val="0047135F"/>
    <w:rsid w:val="004E044B"/>
    <w:rsid w:val="00512C82"/>
    <w:rsid w:val="0052015B"/>
    <w:rsid w:val="005313D2"/>
    <w:rsid w:val="00537044"/>
    <w:rsid w:val="0053792B"/>
    <w:rsid w:val="00560251"/>
    <w:rsid w:val="00573547"/>
    <w:rsid w:val="00577C00"/>
    <w:rsid w:val="005A634A"/>
    <w:rsid w:val="005C04CA"/>
    <w:rsid w:val="005C7826"/>
    <w:rsid w:val="0063229C"/>
    <w:rsid w:val="00657C02"/>
    <w:rsid w:val="006D200D"/>
    <w:rsid w:val="006E716D"/>
    <w:rsid w:val="00784C9D"/>
    <w:rsid w:val="007B5A44"/>
    <w:rsid w:val="008A2B5F"/>
    <w:rsid w:val="008A3EEA"/>
    <w:rsid w:val="008B0F6C"/>
    <w:rsid w:val="008B2D99"/>
    <w:rsid w:val="008B405F"/>
    <w:rsid w:val="008C4FA4"/>
    <w:rsid w:val="008E5381"/>
    <w:rsid w:val="008F0EA5"/>
    <w:rsid w:val="00924CBF"/>
    <w:rsid w:val="0093682F"/>
    <w:rsid w:val="009421EC"/>
    <w:rsid w:val="00984E82"/>
    <w:rsid w:val="009948A1"/>
    <w:rsid w:val="009D4F00"/>
    <w:rsid w:val="009F582E"/>
    <w:rsid w:val="00A444FD"/>
    <w:rsid w:val="00A73979"/>
    <w:rsid w:val="00AD03B5"/>
    <w:rsid w:val="00B47A57"/>
    <w:rsid w:val="00B87219"/>
    <w:rsid w:val="00B91D94"/>
    <w:rsid w:val="00BD2BC6"/>
    <w:rsid w:val="00BD36AF"/>
    <w:rsid w:val="00C248A6"/>
    <w:rsid w:val="00C25022"/>
    <w:rsid w:val="00C4735B"/>
    <w:rsid w:val="00C73A54"/>
    <w:rsid w:val="00C7418D"/>
    <w:rsid w:val="00CE49C2"/>
    <w:rsid w:val="00D424C9"/>
    <w:rsid w:val="00D669E3"/>
    <w:rsid w:val="00D75E8B"/>
    <w:rsid w:val="00D81CEB"/>
    <w:rsid w:val="00E017CD"/>
    <w:rsid w:val="00E27DB8"/>
    <w:rsid w:val="00E573A8"/>
    <w:rsid w:val="00E672DC"/>
    <w:rsid w:val="00ED3530"/>
    <w:rsid w:val="00F55605"/>
    <w:rsid w:val="00F561EB"/>
    <w:rsid w:val="00F716D5"/>
    <w:rsid w:val="00FB5714"/>
    <w:rsid w:val="00FF76C6"/>
    <w:rsid w:val="072916E2"/>
    <w:rsid w:val="07FA384F"/>
    <w:rsid w:val="0A5B6057"/>
    <w:rsid w:val="0D9D0734"/>
    <w:rsid w:val="0E532271"/>
    <w:rsid w:val="0F2E7BE6"/>
    <w:rsid w:val="12BA3355"/>
    <w:rsid w:val="14C47A9A"/>
    <w:rsid w:val="15421DCB"/>
    <w:rsid w:val="1FEB2ABB"/>
    <w:rsid w:val="229E66A5"/>
    <w:rsid w:val="24262DDA"/>
    <w:rsid w:val="246F4995"/>
    <w:rsid w:val="27DF0851"/>
    <w:rsid w:val="286B3D31"/>
    <w:rsid w:val="28873116"/>
    <w:rsid w:val="2BD2389D"/>
    <w:rsid w:val="2ED43580"/>
    <w:rsid w:val="31303FD5"/>
    <w:rsid w:val="323B1125"/>
    <w:rsid w:val="3679323D"/>
    <w:rsid w:val="36D92B26"/>
    <w:rsid w:val="3922234B"/>
    <w:rsid w:val="3A9A5A94"/>
    <w:rsid w:val="3BB2456D"/>
    <w:rsid w:val="3F863B2C"/>
    <w:rsid w:val="41B97D8D"/>
    <w:rsid w:val="430C5108"/>
    <w:rsid w:val="434C41B3"/>
    <w:rsid w:val="439E3C01"/>
    <w:rsid w:val="48247D82"/>
    <w:rsid w:val="48A8183D"/>
    <w:rsid w:val="48BB6D6F"/>
    <w:rsid w:val="4A062578"/>
    <w:rsid w:val="4B26517A"/>
    <w:rsid w:val="4BA41F70"/>
    <w:rsid w:val="4C4F48D4"/>
    <w:rsid w:val="55DF2C65"/>
    <w:rsid w:val="573B194D"/>
    <w:rsid w:val="574F0077"/>
    <w:rsid w:val="5BD016DA"/>
    <w:rsid w:val="5DBB055A"/>
    <w:rsid w:val="632130A8"/>
    <w:rsid w:val="63FA7EBA"/>
    <w:rsid w:val="650E052D"/>
    <w:rsid w:val="6E2F5C63"/>
    <w:rsid w:val="704875E6"/>
    <w:rsid w:val="74650BA2"/>
    <w:rsid w:val="74901A80"/>
    <w:rsid w:val="77CE623E"/>
    <w:rsid w:val="7A911ED0"/>
    <w:rsid w:val="7B0501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taSourceCollection xmlns="http://www.yonyou.com/datasource"/>
</file>

<file path=customXml/item2.xml><?xml version="1.0" encoding="utf-8"?>
<relations xmlns="http://www.yonyou.com/relation"/>
</file>

<file path=customXml/itemProps1.xml><?xml version="1.0" encoding="utf-8"?>
<ds:datastoreItem xmlns:ds="http://schemas.openxmlformats.org/officeDocument/2006/customXml" ds:itemID="{22494FCE-757B-419C-8AAB-1394AFA2934E}">
  <ds:schemaRefs/>
</ds:datastoreItem>
</file>

<file path=customXml/itemProps2.xml><?xml version="1.0" encoding="utf-8"?>
<ds:datastoreItem xmlns:ds="http://schemas.openxmlformats.org/officeDocument/2006/customXml" ds:itemID="{E581FF1D-323B-4ECD-A352-7DCACB936007}">
  <ds:schemaRefs/>
</ds:datastoreItem>
</file>

<file path=docProps/app.xml><?xml version="1.0" encoding="utf-8"?>
<Properties xmlns="http://schemas.openxmlformats.org/officeDocument/2006/extended-properties" xmlns:vt="http://schemas.openxmlformats.org/officeDocument/2006/docPropsVTypes">
  <Template>Normal</Template>
  <Pages>4</Pages>
  <Words>1678</Words>
  <Characters>1788</Characters>
  <Lines>15</Lines>
  <Paragraphs>4</Paragraphs>
  <TotalTime>5</TotalTime>
  <ScaleCrop>false</ScaleCrop>
  <LinksUpToDate>false</LinksUpToDate>
  <CharactersWithSpaces>1843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2023-05-11T03:25:00Z</dcterms:created>
  <dc:creator>Administrator</dc:creator>
  <cp:lastModifiedBy>姜</cp:lastModifiedBy>
  <cp:lastPrinted>2023-05-11T01:20:00Z</cp:lastPrinted>
  <dcterms:modified xsi:type="dcterms:W3CDTF">2023-08-25T02:01:12Z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B7A9BA98B8604CD68E85024F9ED0FAD3</vt:lpwstr>
  </property>
</Properties>
</file>