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 xml:space="preserve">       </w:t>
      </w:r>
    </w:p>
    <w:p>
      <w:pPr>
        <w:spacing w:line="480" w:lineRule="exact"/>
        <w:rPr>
          <w:rFonts w:ascii="仿宋" w:hAnsi="仿宋" w:eastAsia="仿宋"/>
          <w:sz w:val="36"/>
          <w:szCs w:val="36"/>
          <w:highlight w:val="none"/>
        </w:rPr>
      </w:pPr>
      <w:r>
        <w:rPr>
          <w:rFonts w:hint="eastAsia" w:ascii="方正小标宋简体" w:eastAsia="方正小标宋简体"/>
          <w:sz w:val="36"/>
          <w:szCs w:val="36"/>
        </w:rPr>
        <w:t xml:space="preserve">           </w:t>
      </w:r>
      <w:r>
        <w:rPr>
          <w:rFonts w:hint="eastAsia" w:ascii="方正小标宋简体" w:hAnsi="黑体" w:eastAsia="方正小标宋简体"/>
          <w:sz w:val="36"/>
          <w:szCs w:val="36"/>
        </w:rPr>
        <w:t xml:space="preserve">     </w:t>
      </w:r>
      <w:r>
        <w:rPr>
          <w:rFonts w:hint="eastAsia" w:ascii="方正小标宋简体" w:hAnsi="方正小标宋简体" w:eastAsia="方正小标宋简体" w:cs="方正小标宋简体"/>
          <w:sz w:val="36"/>
          <w:szCs w:val="36"/>
          <w:highlight w:val="none"/>
        </w:rPr>
        <w:t>项目支出绩效自评表</w:t>
      </w:r>
    </w:p>
    <w:p>
      <w:pPr>
        <w:spacing w:line="480" w:lineRule="exact"/>
        <w:rPr>
          <w:rFonts w:ascii="仿宋_GB2312" w:hAnsi="宋体" w:eastAsia="仿宋_GB2312"/>
          <w:sz w:val="28"/>
          <w:szCs w:val="28"/>
          <w:highlight w:val="none"/>
        </w:rPr>
      </w:pPr>
      <w:r>
        <w:rPr>
          <w:rFonts w:hint="eastAsia" w:ascii="仿宋_GB2312" w:eastAsia="仿宋_GB2312"/>
          <w:sz w:val="28"/>
          <w:szCs w:val="28"/>
          <w:highlight w:val="none"/>
        </w:rPr>
        <w:t xml:space="preserve">                   </w:t>
      </w:r>
      <w:r>
        <w:rPr>
          <w:rFonts w:ascii="仿宋_GB2312" w:eastAsia="仿宋_GB2312"/>
          <w:sz w:val="28"/>
          <w:szCs w:val="28"/>
          <w:highlight w:val="none"/>
        </w:rPr>
        <w:t xml:space="preserve">  </w:t>
      </w:r>
      <w:r>
        <w:rPr>
          <w:rFonts w:hint="eastAsia" w:ascii="仿宋_GB2312" w:hAnsi="宋体" w:eastAsia="仿宋_GB2312"/>
          <w:sz w:val="28"/>
          <w:szCs w:val="28"/>
          <w:highlight w:val="none"/>
        </w:rPr>
        <w:t xml:space="preserve"> </w:t>
      </w:r>
      <w:r>
        <w:rPr>
          <w:rFonts w:ascii="仿宋_GB2312" w:hAnsi="宋体" w:eastAsia="仿宋_GB2312"/>
          <w:sz w:val="28"/>
          <w:szCs w:val="28"/>
          <w:highlight w:val="none"/>
        </w:rPr>
        <w:t xml:space="preserve"> </w:t>
      </w:r>
      <w:r>
        <w:rPr>
          <w:rFonts w:hint="eastAsia" w:ascii="仿宋_GB2312" w:hAnsi="宋体" w:eastAsia="仿宋_GB2312"/>
          <w:sz w:val="28"/>
          <w:szCs w:val="28"/>
          <w:highlight w:val="none"/>
        </w:rPr>
        <w:t xml:space="preserve">  （202</w:t>
      </w:r>
      <w:r>
        <w:rPr>
          <w:rFonts w:hint="eastAsia" w:ascii="仿宋_GB2312" w:hAnsi="宋体" w:eastAsia="仿宋_GB2312"/>
          <w:sz w:val="28"/>
          <w:szCs w:val="28"/>
          <w:highlight w:val="none"/>
          <w:lang w:val="en-US" w:eastAsia="zh-CN"/>
        </w:rPr>
        <w:t>2</w:t>
      </w:r>
      <w:r>
        <w:rPr>
          <w:rFonts w:hint="eastAsia" w:ascii="仿宋_GB2312" w:hAnsi="宋体" w:eastAsia="仿宋_GB2312"/>
          <w:sz w:val="28"/>
          <w:szCs w:val="28"/>
          <w:highlight w:val="none"/>
        </w:rPr>
        <w:t>年度）</w:t>
      </w:r>
    </w:p>
    <w:p>
      <w:pPr>
        <w:spacing w:line="240" w:lineRule="exact"/>
        <w:rPr>
          <w:rFonts w:ascii="仿宋_GB2312" w:hAnsi="宋体" w:eastAsia="仿宋_GB2312"/>
          <w:sz w:val="30"/>
          <w:szCs w:val="30"/>
          <w:highlight w:val="none"/>
        </w:rPr>
      </w:pPr>
    </w:p>
    <w:tbl>
      <w:tblPr>
        <w:tblStyle w:val="4"/>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445"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bookmarkStart w:id="0" w:name="_GoBack"/>
            <w:bookmarkEnd w:id="0"/>
            <w:r>
              <w:rPr>
                <w:rFonts w:hint="eastAsia" w:ascii="仿宋" w:hAnsi="仿宋" w:eastAsia="仿宋" w:cs="仿宋"/>
                <w:kern w:val="0"/>
                <w:szCs w:val="21"/>
                <w:highlight w:val="none"/>
              </w:rPr>
              <w:t>11000022Y000000459182-信息系统运维类项目-北京市少年宫互联网接入费</w:t>
            </w:r>
          </w:p>
        </w:tc>
      </w:tr>
      <w:tr>
        <w:tblPrEx>
          <w:tblCellMar>
            <w:top w:w="0" w:type="dxa"/>
            <w:left w:w="108" w:type="dxa"/>
            <w:bottom w:w="0" w:type="dxa"/>
            <w:right w:w="108" w:type="dxa"/>
          </w:tblCellMar>
        </w:tblPrEx>
        <w:trPr>
          <w:trHeight w:val="423"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北京市教育委员会</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北京市少年宫</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张蕾</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highlight w:val="none"/>
              </w:rPr>
              <w:t>13488825193</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项目资金</w:t>
            </w:r>
            <w:r>
              <w:rPr>
                <w:rFonts w:hint="eastAsia" w:ascii="仿宋" w:hAnsi="仿宋" w:eastAsia="仿宋" w:cs="仿宋"/>
                <w:kern w:val="0"/>
                <w:szCs w:val="21"/>
                <w:highlight w:val="none"/>
              </w:rPr>
              <w:br w:type="textWrapping"/>
            </w:r>
            <w:r>
              <w:rPr>
                <w:rFonts w:hint="eastAsia" w:ascii="仿宋" w:hAnsi="仿宋" w:eastAsia="仿宋" w:cs="仿宋"/>
                <w:kern w:val="0"/>
                <w:szCs w:val="21"/>
                <w:highlight w:val="none"/>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年初预</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全年预</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全年</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得分</w:t>
            </w:r>
          </w:p>
        </w:tc>
      </w:tr>
      <w:tr>
        <w:tblPrEx>
          <w:tblCellMar>
            <w:top w:w="0" w:type="dxa"/>
            <w:left w:w="108" w:type="dxa"/>
            <w:bottom w:w="0" w:type="dxa"/>
            <w:right w:w="108" w:type="dxa"/>
          </w:tblCellMar>
        </w:tblPrEx>
        <w:trPr>
          <w:trHeight w:val="49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 w:hAnsi="仿宋" w:eastAsia="仿宋" w:cs="仿宋"/>
                <w:kern w:val="0"/>
                <w:szCs w:val="21"/>
                <w:highlight w:val="none"/>
              </w:rPr>
            </w:pPr>
            <w:r>
              <w:rPr>
                <w:rFonts w:hint="eastAsia" w:ascii="仿宋" w:hAnsi="仿宋" w:eastAsia="仿宋" w:cs="仿宋"/>
                <w:kern w:val="0"/>
                <w:szCs w:val="21"/>
                <w:highlight w:val="none"/>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39.0816</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39.0816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39.0816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10</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其中：当年财政</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39.0816</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39.0816</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39.0816</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100%</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实际完成情况</w:t>
            </w:r>
          </w:p>
        </w:tc>
      </w:tr>
      <w:tr>
        <w:tblPrEx>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5066" w:type="dxa"/>
            <w:gridSpan w:val="6"/>
            <w:tcBorders>
              <w:top w:val="single" w:color="auto" w:sz="4" w:space="0"/>
              <w:left w:val="nil"/>
              <w:bottom w:val="single" w:color="auto" w:sz="4" w:space="0"/>
              <w:right w:val="single" w:color="auto" w:sz="4" w:space="0"/>
            </w:tcBorders>
            <w:vAlign w:val="center"/>
          </w:tcPr>
          <w:p>
            <w:pPr>
              <w:widowControl/>
              <w:jc w:val="left"/>
              <w:rPr>
                <w:rFonts w:ascii="仿宋" w:hAnsi="仿宋" w:eastAsia="仿宋" w:cs="仿宋"/>
                <w:kern w:val="0"/>
                <w:szCs w:val="21"/>
                <w:highlight w:val="none"/>
              </w:rPr>
            </w:pPr>
            <w:r>
              <w:rPr>
                <w:rFonts w:hint="eastAsia" w:ascii="仿宋" w:hAnsi="仿宋" w:eastAsia="仿宋" w:cs="仿宋"/>
                <w:kern w:val="0"/>
                <w:szCs w:val="21"/>
                <w:highlight w:val="none"/>
              </w:rPr>
              <w:t>更好地满足教师、学生、教学、办公和学习需求，保证网上办公的网络带宽，提升教学活动应用访问速度，提高中心局域网用户的网络体验满意度，助力学校信息化发展的需求。</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执行互联网带宽接入，实现了局域网对单位信息化办公和教学的应用，完成了本年度的网络带宽服务。</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绩</w:t>
            </w:r>
            <w:r>
              <w:rPr>
                <w:rFonts w:hint="eastAsia" w:ascii="仿宋" w:hAnsi="仿宋" w:eastAsia="仿宋" w:cs="仿宋"/>
                <w:kern w:val="0"/>
                <w:szCs w:val="21"/>
                <w:highlight w:val="none"/>
              </w:rPr>
              <w:br w:type="textWrapping"/>
            </w:r>
            <w:r>
              <w:rPr>
                <w:rFonts w:hint="eastAsia" w:ascii="仿宋" w:hAnsi="仿宋" w:eastAsia="仿宋" w:cs="仿宋"/>
                <w:kern w:val="0"/>
                <w:szCs w:val="21"/>
                <w:highlight w:val="none"/>
              </w:rPr>
              <w:t>效</w:t>
            </w:r>
            <w:r>
              <w:rPr>
                <w:rFonts w:hint="eastAsia" w:ascii="仿宋" w:hAnsi="仿宋" w:eastAsia="仿宋" w:cs="仿宋"/>
                <w:kern w:val="0"/>
                <w:szCs w:val="21"/>
                <w:highlight w:val="none"/>
              </w:rPr>
              <w:br w:type="textWrapping"/>
            </w:r>
            <w:r>
              <w:rPr>
                <w:rFonts w:hint="eastAsia" w:ascii="仿宋" w:hAnsi="仿宋" w:eastAsia="仿宋" w:cs="仿宋"/>
                <w:kern w:val="0"/>
                <w:szCs w:val="21"/>
                <w:highlight w:val="none"/>
              </w:rPr>
              <w:t>指</w:t>
            </w:r>
            <w:r>
              <w:rPr>
                <w:rFonts w:hint="eastAsia" w:ascii="仿宋" w:hAnsi="仿宋" w:eastAsia="仿宋" w:cs="仿宋"/>
                <w:kern w:val="0"/>
                <w:szCs w:val="21"/>
                <w:highlight w:val="none"/>
              </w:rPr>
              <w:br w:type="textWrapping"/>
            </w:r>
            <w:r>
              <w:rPr>
                <w:rFonts w:hint="eastAsia" w:ascii="仿宋" w:hAnsi="仿宋" w:eastAsia="仿宋" w:cs="仿宋"/>
                <w:kern w:val="0"/>
                <w:szCs w:val="21"/>
                <w:highlight w:val="none"/>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年度</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实际</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偏差原因分析及改进</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措施</w:t>
            </w:r>
          </w:p>
        </w:tc>
      </w:tr>
      <w:tr>
        <w:tblPrEx>
          <w:tblCellMar>
            <w:top w:w="0" w:type="dxa"/>
            <w:left w:w="108" w:type="dxa"/>
            <w:bottom w:w="0" w:type="dxa"/>
            <w:right w:w="108" w:type="dxa"/>
          </w:tblCellMar>
        </w:tblPrEx>
        <w:trPr>
          <w:trHeight w:val="59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产出指标（50分）</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数量指标</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（10分）</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中国电信网</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w:t>
            </w:r>
            <w:r>
              <w:rPr>
                <w:rFonts w:hint="eastAsia" w:ascii="仿宋" w:hAnsi="仿宋" w:eastAsia="仿宋" w:cs="仿宋"/>
                <w:kern w:val="0"/>
                <w:szCs w:val="21"/>
                <w:highlight w:val="none"/>
              </w:rPr>
              <w:t>100M</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100M</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7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教育信息网</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w:t>
            </w:r>
            <w:r>
              <w:rPr>
                <w:rFonts w:hint="eastAsia" w:ascii="仿宋" w:hAnsi="仿宋" w:eastAsia="仿宋" w:cs="仿宋"/>
                <w:kern w:val="0"/>
                <w:szCs w:val="21"/>
                <w:highlight w:val="none"/>
              </w:rPr>
              <w:t>100M</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100M</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20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20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129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时效指标</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（20分）</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2022年4-8月投入</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≤9月</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color w:val="000000"/>
                <w:kern w:val="0"/>
                <w:szCs w:val="21"/>
                <w:highlight w:val="none"/>
              </w:rPr>
              <w:t>2022年</w:t>
            </w:r>
            <w:r>
              <w:rPr>
                <w:rFonts w:ascii="仿宋" w:hAnsi="仿宋" w:eastAsia="仿宋" w:cs="仿宋"/>
                <w:color w:val="000000"/>
                <w:kern w:val="0"/>
                <w:szCs w:val="21"/>
                <w:highlight w:val="none"/>
              </w:rPr>
              <w:t>5</w:t>
            </w:r>
            <w:r>
              <w:rPr>
                <w:rFonts w:hint="eastAsia" w:ascii="仿宋" w:hAnsi="仿宋" w:eastAsia="仿宋" w:cs="仿宋"/>
                <w:color w:val="000000"/>
                <w:kern w:val="0"/>
                <w:szCs w:val="21"/>
                <w:highlight w:val="none"/>
              </w:rPr>
              <w:t>月完成</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294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成本指标</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（10分）</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不超预算39.0816万元</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≤3</w:t>
            </w:r>
            <w:r>
              <w:rPr>
                <w:rFonts w:ascii="仿宋" w:hAnsi="仿宋" w:eastAsia="仿宋" w:cs="仿宋"/>
                <w:kern w:val="0"/>
                <w:szCs w:val="21"/>
                <w:highlight w:val="none"/>
              </w:rPr>
              <w:t>9.0816</w:t>
            </w:r>
            <w:r>
              <w:rPr>
                <w:rFonts w:hint="eastAsia" w:ascii="仿宋" w:hAnsi="仿宋" w:eastAsia="仿宋" w:cs="仿宋"/>
                <w:kern w:val="0"/>
                <w:szCs w:val="21"/>
                <w:highlight w:val="none"/>
              </w:rPr>
              <w:t>万元</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39.0816</w:t>
            </w:r>
            <w:r>
              <w:rPr>
                <w:rFonts w:hint="eastAsia" w:ascii="仿宋" w:hAnsi="仿宋" w:eastAsia="仿宋" w:cs="仿宋"/>
                <w:kern w:val="0"/>
                <w:szCs w:val="21"/>
                <w:highlight w:val="none"/>
              </w:rPr>
              <w:t>万</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132"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效益指标（30分）</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社会效益</w:t>
            </w:r>
          </w:p>
          <w:p>
            <w:pPr>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指标</w:t>
            </w:r>
          </w:p>
        </w:tc>
        <w:tc>
          <w:tcPr>
            <w:tcW w:w="6373" w:type="dxa"/>
            <w:gridSpan w:val="11"/>
            <w:tcBorders>
              <w:top w:val="single" w:color="auto" w:sz="4" w:space="0"/>
              <w:left w:val="nil"/>
              <w:right w:val="single" w:color="auto" w:sz="4" w:space="0"/>
            </w:tcBorders>
            <w:vAlign w:val="center"/>
          </w:tcPr>
          <w:p>
            <w:pPr>
              <w:widowControl/>
              <w:spacing w:line="240" w:lineRule="exact"/>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799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2137" w:type="dxa"/>
            <w:gridSpan w:val="3"/>
            <w:tcBorders>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在项目实施后都有助于 提高中心公共服务水平，提升中心社会地位和社会影响力，、促进中心信息化建设。</w:t>
            </w:r>
          </w:p>
        </w:tc>
        <w:tc>
          <w:tcPr>
            <w:tcW w:w="849" w:type="dxa"/>
            <w:tcBorders>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color w:val="000000"/>
                <w:kern w:val="0"/>
                <w:szCs w:val="21"/>
                <w:highlight w:val="none"/>
              </w:rPr>
              <w:t>互联网接入提高了局域网网络安全性能，保障中心应用系统稳定运行。有助于提高中心公共服务水平，提升中心社会地位和社会影响力。</w:t>
            </w:r>
          </w:p>
        </w:tc>
        <w:tc>
          <w:tcPr>
            <w:tcW w:w="848" w:type="dxa"/>
            <w:tcBorders>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完成主楼1-5号楼、6-8号楼、平房区、植物园区互联网带宽接入，圆满完成了市宫各类课外活动的网络需求，同时支持了北京市少年宫首批线上课程的教学活动，提高了市宫的社会影响力。</w:t>
            </w:r>
          </w:p>
          <w:p>
            <w:pPr>
              <w:rPr>
                <w:rFonts w:ascii="仿宋" w:hAnsi="仿宋" w:eastAsia="仿宋" w:cs="仿宋"/>
                <w:szCs w:val="21"/>
                <w:highlight w:val="none"/>
              </w:rPr>
            </w:pPr>
          </w:p>
        </w:tc>
        <w:tc>
          <w:tcPr>
            <w:tcW w:w="563" w:type="dxa"/>
            <w:gridSpan w:val="2"/>
            <w:tcBorders>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10</w:t>
            </w:r>
          </w:p>
        </w:tc>
        <w:tc>
          <w:tcPr>
            <w:tcW w:w="563" w:type="dxa"/>
            <w:gridSpan w:val="2"/>
            <w:tcBorders>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ascii="仿宋" w:hAnsi="仿宋" w:eastAsia="仿宋" w:cs="仿宋"/>
                <w:kern w:val="0"/>
                <w:szCs w:val="21"/>
                <w:highlight w:val="none"/>
              </w:rPr>
              <w:t>10</w:t>
            </w:r>
          </w:p>
        </w:tc>
        <w:tc>
          <w:tcPr>
            <w:tcW w:w="1413" w:type="dxa"/>
            <w:gridSpan w:val="2"/>
            <w:tcBorders>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53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在3年内将发挥积极作用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定性</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北京市少年宫日常信息化办公及线上教学需要有持续稳定的互联网带宽作为支撑，在3年内发挥了积极作用。</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w:t>
            </w:r>
            <w:r>
              <w:rPr>
                <w:rFonts w:ascii="仿宋" w:hAnsi="仿宋" w:eastAsia="仿宋" w:cs="仿宋"/>
                <w:kern w:val="0"/>
                <w:szCs w:val="21"/>
                <w:highlight w:val="none"/>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w:t>
            </w:r>
            <w:r>
              <w:rPr>
                <w:rFonts w:ascii="仿宋" w:hAnsi="仿宋" w:eastAsia="仿宋" w:cs="仿宋"/>
                <w:kern w:val="0"/>
                <w:szCs w:val="21"/>
                <w:highlight w:val="none"/>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525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生态效益指标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营造校外 学习生态</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定性</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承接三项市级教育教学系统（北京市少年宫教务管理系统、北京市中小学植物栽培大赛平台、北京市教学植物园科普活动预约系统）</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w:t>
            </w:r>
            <w:r>
              <w:rPr>
                <w:rFonts w:ascii="仿宋" w:hAnsi="仿宋" w:eastAsia="仿宋" w:cs="仿宋"/>
                <w:kern w:val="0"/>
                <w:szCs w:val="21"/>
                <w:highlight w:val="none"/>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w:t>
            </w:r>
            <w:r>
              <w:rPr>
                <w:rFonts w:ascii="仿宋" w:hAnsi="仿宋" w:eastAsia="仿宋" w:cs="仿宋"/>
                <w:kern w:val="0"/>
                <w:szCs w:val="21"/>
                <w:highlight w:val="none"/>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r>
      <w:tr>
        <w:tblPrEx>
          <w:tblCellMar>
            <w:top w:w="0" w:type="dxa"/>
            <w:left w:w="108" w:type="dxa"/>
            <w:bottom w:w="0" w:type="dxa"/>
            <w:right w:w="108" w:type="dxa"/>
          </w:tblCellMar>
        </w:tblPrEx>
        <w:trPr>
          <w:trHeight w:val="34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满意度</w:t>
            </w:r>
          </w:p>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指标（10分）</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服务对象满意度标（10分）</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服务满意度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w:t>
            </w:r>
            <w:r>
              <w:rPr>
                <w:rFonts w:ascii="仿宋" w:hAnsi="仿宋" w:eastAsia="仿宋" w:cs="仿宋"/>
                <w:kern w:val="0"/>
                <w:szCs w:val="21"/>
                <w:highlight w:val="none"/>
              </w:rPr>
              <w:t>93</w:t>
            </w:r>
            <w:r>
              <w:rPr>
                <w:rFonts w:hint="eastAsia" w:ascii="仿宋" w:hAnsi="仿宋" w:eastAsia="仿宋" w:cs="仿宋"/>
                <w:kern w:val="0"/>
                <w:szCs w:val="21"/>
                <w:highlight w:val="none"/>
              </w:rPr>
              <w:t>%</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9</w:t>
            </w:r>
            <w:r>
              <w:rPr>
                <w:rFonts w:hint="eastAsia" w:ascii="仿宋" w:hAnsi="仿宋" w:eastAsia="仿宋" w:cs="仿宋"/>
                <w:kern w:val="0"/>
                <w:szCs w:val="21"/>
                <w:highlight w:val="none"/>
                <w:lang w:val="en-US" w:eastAsia="zh-CN"/>
              </w:rPr>
              <w:t>2</w:t>
            </w:r>
            <w:r>
              <w:rPr>
                <w:rFonts w:hint="eastAsia" w:ascii="仿宋" w:hAnsi="仿宋" w:eastAsia="仿宋" w:cs="仿宋"/>
                <w:kern w:val="0"/>
                <w:szCs w:val="21"/>
                <w:highlight w:val="none"/>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r>
              <w:rPr>
                <w:rFonts w:hint="eastAsia" w:ascii="仿宋" w:hAnsi="仿宋" w:eastAsia="仿宋" w:cs="仿宋"/>
                <w:kern w:val="0"/>
                <w:szCs w:val="21"/>
                <w:highlight w:val="none"/>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通过满意度调查发现有</w:t>
            </w:r>
            <w:r>
              <w:rPr>
                <w:rFonts w:hint="eastAsia" w:ascii="仿宋" w:hAnsi="仿宋" w:eastAsia="仿宋" w:cs="仿宋"/>
                <w:kern w:val="0"/>
                <w:szCs w:val="21"/>
                <w:highlight w:val="none"/>
                <w:lang w:val="en-US" w:eastAsia="zh-CN"/>
              </w:rPr>
              <w:t>8</w:t>
            </w:r>
            <w:r>
              <w:rPr>
                <w:rFonts w:ascii="仿宋" w:hAnsi="仿宋" w:eastAsia="仿宋" w:cs="仿宋"/>
                <w:kern w:val="0"/>
                <w:szCs w:val="21"/>
                <w:highlight w:val="none"/>
              </w:rPr>
              <w:t>%</w:t>
            </w:r>
            <w:r>
              <w:rPr>
                <w:rFonts w:hint="eastAsia" w:ascii="仿宋" w:hAnsi="仿宋" w:eastAsia="仿宋" w:cs="仿宋"/>
                <w:kern w:val="0"/>
                <w:szCs w:val="21"/>
                <w:highlight w:val="none"/>
              </w:rPr>
              <w:t>的调查对象反应有网速不稳定的情况，经过对问题的回访及巡查，是因为使用者本机存在病毒，受到攻击造成网络拥堵，与网络带宽链路无关。</w:t>
            </w: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color w:val="000000"/>
                <w:kern w:val="0"/>
                <w:szCs w:val="21"/>
                <w:highlight w:val="none"/>
              </w:rPr>
            </w:pPr>
            <w:r>
              <w:rPr>
                <w:rFonts w:hint="eastAsia" w:ascii="仿宋" w:hAnsi="仿宋" w:eastAsia="仿宋" w:cs="仿宋"/>
                <w:color w:val="000000"/>
                <w:kern w:val="0"/>
                <w:szCs w:val="21"/>
                <w:highlight w:val="none"/>
              </w:rPr>
              <w:t>99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 w:hAnsi="仿宋" w:eastAsia="仿宋" w:cs="仿宋"/>
                <w:kern w:val="0"/>
                <w:szCs w:val="21"/>
                <w:highlight w:val="none"/>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9213254-359D-4150-97F6-BBC62487C9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0625463-CF88-4485-904E-D373CC5BAF45}"/>
  </w:font>
  <w:font w:name="仿宋">
    <w:panose1 w:val="02010609060101010101"/>
    <w:charset w:val="86"/>
    <w:family w:val="modern"/>
    <w:pitch w:val="default"/>
    <w:sig w:usb0="800002BF" w:usb1="38CF7CFA" w:usb2="00000016" w:usb3="00000000" w:csb0="00040001" w:csb1="00000000"/>
    <w:embedRegular r:id="rId3" w:fontKey="{C7D8443A-2FB4-4098-9F66-52A8C47A9686}"/>
  </w:font>
  <w:font w:name="方正小标宋简体">
    <w:panose1 w:val="02000000000000000000"/>
    <w:charset w:val="86"/>
    <w:family w:val="auto"/>
    <w:pitch w:val="default"/>
    <w:sig w:usb0="00000001" w:usb1="080E0000" w:usb2="00000000" w:usb3="00000000" w:csb0="00040000" w:csb1="00000000"/>
    <w:embedRegular r:id="rId4" w:fontKey="{48F606B6-B84A-421E-8573-2BEA7CFF3AE7}"/>
  </w:font>
  <w:font w:name="仿宋_GB2312">
    <w:panose1 w:val="02010609030101010101"/>
    <w:charset w:val="86"/>
    <w:family w:val="modern"/>
    <w:pitch w:val="default"/>
    <w:sig w:usb0="00000001" w:usb1="080E0000" w:usb2="00000000" w:usb3="00000000" w:csb0="00040000" w:csb1="00000000"/>
    <w:embedRegular r:id="rId5" w:fontKey="{14643E9D-CF82-4372-9CA3-AD655F590C68}"/>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1ZWM0NjZmNjcxMWM1MGE2OTZkZjZlMTgwZTAwOTMifQ=="/>
  </w:docVars>
  <w:rsids>
    <w:rsidRoot w:val="00512C82"/>
    <w:rsid w:val="00032BD6"/>
    <w:rsid w:val="0005462F"/>
    <w:rsid w:val="00074449"/>
    <w:rsid w:val="000A247E"/>
    <w:rsid w:val="000B3C87"/>
    <w:rsid w:val="000B5E06"/>
    <w:rsid w:val="001F359C"/>
    <w:rsid w:val="002714A1"/>
    <w:rsid w:val="00324F63"/>
    <w:rsid w:val="003435ED"/>
    <w:rsid w:val="00344F7F"/>
    <w:rsid w:val="00354863"/>
    <w:rsid w:val="0043590D"/>
    <w:rsid w:val="0045622B"/>
    <w:rsid w:val="004A11F8"/>
    <w:rsid w:val="00512C82"/>
    <w:rsid w:val="005641C6"/>
    <w:rsid w:val="0056726A"/>
    <w:rsid w:val="005A0B11"/>
    <w:rsid w:val="005A2E87"/>
    <w:rsid w:val="005C1E01"/>
    <w:rsid w:val="00611BE2"/>
    <w:rsid w:val="00617073"/>
    <w:rsid w:val="00676E03"/>
    <w:rsid w:val="006B5435"/>
    <w:rsid w:val="006D3A6C"/>
    <w:rsid w:val="00705954"/>
    <w:rsid w:val="00715931"/>
    <w:rsid w:val="00721701"/>
    <w:rsid w:val="0073347C"/>
    <w:rsid w:val="007406E3"/>
    <w:rsid w:val="00784468"/>
    <w:rsid w:val="0078696A"/>
    <w:rsid w:val="00790FC9"/>
    <w:rsid w:val="007A61B0"/>
    <w:rsid w:val="007D0F4C"/>
    <w:rsid w:val="00803834"/>
    <w:rsid w:val="00832554"/>
    <w:rsid w:val="0083767B"/>
    <w:rsid w:val="008A3EEA"/>
    <w:rsid w:val="008A4EFE"/>
    <w:rsid w:val="008C2B42"/>
    <w:rsid w:val="008C2CBC"/>
    <w:rsid w:val="00904FC4"/>
    <w:rsid w:val="00A04CDC"/>
    <w:rsid w:val="00A52B90"/>
    <w:rsid w:val="00AA7F38"/>
    <w:rsid w:val="00B0430D"/>
    <w:rsid w:val="00B37FEA"/>
    <w:rsid w:val="00B47A57"/>
    <w:rsid w:val="00B805A2"/>
    <w:rsid w:val="00BC44A4"/>
    <w:rsid w:val="00BC6DA9"/>
    <w:rsid w:val="00BD73DC"/>
    <w:rsid w:val="00BE5E5E"/>
    <w:rsid w:val="00C34253"/>
    <w:rsid w:val="00C8653F"/>
    <w:rsid w:val="00CB06CB"/>
    <w:rsid w:val="00CB782D"/>
    <w:rsid w:val="00CE49C2"/>
    <w:rsid w:val="00DA0F4A"/>
    <w:rsid w:val="00E017CD"/>
    <w:rsid w:val="00E33A21"/>
    <w:rsid w:val="00EB1943"/>
    <w:rsid w:val="00ED25EA"/>
    <w:rsid w:val="00F561EB"/>
    <w:rsid w:val="0F3D0BE5"/>
    <w:rsid w:val="25A405D9"/>
    <w:rsid w:val="2FED7E95"/>
    <w:rsid w:val="33DC5263"/>
    <w:rsid w:val="3AD35832"/>
    <w:rsid w:val="3BBD172D"/>
    <w:rsid w:val="49BA0AF3"/>
    <w:rsid w:val="4B26517A"/>
    <w:rsid w:val="52A41806"/>
    <w:rsid w:val="7154751E"/>
    <w:rsid w:val="73C71095"/>
    <w:rsid w:val="7B4733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脚 字符"/>
    <w:link w:val="2"/>
    <w:qFormat/>
    <w:uiPriority w:val="99"/>
    <w:rPr>
      <w:sz w:val="18"/>
      <w:szCs w:val="18"/>
    </w:rPr>
  </w:style>
  <w:style w:type="character" w:customStyle="1" w:styleId="7">
    <w:name w:val="页眉 字符"/>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taSourceCollection xmlns="http://www.yonyou.com/datasource"/>
</file>

<file path=customXml/item2.xml><?xml version="1.0" encoding="utf-8"?>
<relations xmlns="http://www.yonyou.com/relation"/>
</file>

<file path=customXml/itemProps1.xml><?xml version="1.0" encoding="utf-8"?>
<ds:datastoreItem xmlns:ds="http://schemas.openxmlformats.org/officeDocument/2006/customXml" ds:itemID="{976C886C-D182-49AE-BEA3-237A95DF5005}">
  <ds:schemaRefs/>
</ds:datastoreItem>
</file>

<file path=customXml/itemProps2.xml><?xml version="1.0" encoding="utf-8"?>
<ds:datastoreItem xmlns:ds="http://schemas.openxmlformats.org/officeDocument/2006/customXml" ds:itemID="{7284D93B-C99D-4A55-902E-F7F8377FAA16}">
  <ds:schemaRefs/>
</ds:datastoreItem>
</file>

<file path=docProps/app.xml><?xml version="1.0" encoding="utf-8"?>
<Properties xmlns="http://schemas.openxmlformats.org/officeDocument/2006/extended-properties" xmlns:vt="http://schemas.openxmlformats.org/officeDocument/2006/docPropsVTypes">
  <Template>Normal.dotm</Template>
  <Pages>3</Pages>
  <Words>868</Words>
  <Characters>1020</Characters>
  <Lines>9</Lines>
  <Paragraphs>2</Paragraphs>
  <TotalTime>81</TotalTime>
  <ScaleCrop>false</ScaleCrop>
  <LinksUpToDate>false</LinksUpToDate>
  <CharactersWithSpaces>1078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2023-05-11T03:20:00Z</dcterms:created>
  <dc:creator>Administrator</dc:creator>
  <cp:lastModifiedBy>姜</cp:lastModifiedBy>
  <cp:lastPrinted>2023-05-11T02:14:00Z</cp:lastPrinted>
  <dcterms:modified xsi:type="dcterms:W3CDTF">2023-08-25T02:02:01Z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E7DCA2ED2BCE487085AE7269B17EF0C6</vt:lpwstr>
  </property>
</Properties>
</file>