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927" w:type="dxa"/>
        <w:tblInd w:w="93" w:type="dxa"/>
        <w:tblLayout w:type="autofit"/>
        <w:tblCellMar>
          <w:top w:w="0" w:type="dxa"/>
          <w:left w:w="108" w:type="dxa"/>
          <w:bottom w:w="0" w:type="dxa"/>
          <w:right w:w="108" w:type="dxa"/>
        </w:tblCellMar>
      </w:tblPr>
      <w:tblGrid>
        <w:gridCol w:w="376"/>
        <w:gridCol w:w="677"/>
        <w:gridCol w:w="856"/>
        <w:gridCol w:w="2331"/>
        <w:gridCol w:w="1016"/>
        <w:gridCol w:w="1016"/>
        <w:gridCol w:w="1016"/>
        <w:gridCol w:w="555"/>
        <w:gridCol w:w="776"/>
        <w:gridCol w:w="1308"/>
      </w:tblGrid>
      <w:tr>
        <w:tblPrEx>
          <w:tblCellMar>
            <w:top w:w="0" w:type="dxa"/>
            <w:left w:w="108" w:type="dxa"/>
            <w:bottom w:w="0" w:type="dxa"/>
            <w:right w:w="108" w:type="dxa"/>
          </w:tblCellMar>
        </w:tblPrEx>
        <w:trPr>
          <w:trHeight w:val="323" w:hRule="atLeast"/>
        </w:trPr>
        <w:tc>
          <w:tcPr>
            <w:tcW w:w="9927" w:type="dxa"/>
            <w:gridSpan w:val="10"/>
            <w:tcBorders>
              <w:top w:val="nil"/>
              <w:left w:val="nil"/>
              <w:bottom w:val="nil"/>
              <w:right w:val="nil"/>
            </w:tcBorders>
            <w:shd w:val="clear" w:color="auto" w:fill="auto"/>
            <w:vAlign w:val="center"/>
          </w:tcPr>
          <w:p>
            <w:pPr>
              <w:widowControl/>
              <w:textAlignment w:val="center"/>
              <w:rPr>
                <w:rFonts w:ascii="仿宋_GB2312" w:hAnsi="宋体" w:eastAsia="仿宋_GB2312" w:cs="仿宋_GB2312"/>
                <w:color w:val="000000"/>
                <w:sz w:val="24"/>
              </w:rPr>
            </w:pPr>
          </w:p>
        </w:tc>
      </w:tr>
      <w:tr>
        <w:tblPrEx>
          <w:tblCellMar>
            <w:top w:w="0" w:type="dxa"/>
            <w:left w:w="108" w:type="dxa"/>
            <w:bottom w:w="0" w:type="dxa"/>
            <w:right w:w="108" w:type="dxa"/>
          </w:tblCellMar>
        </w:tblPrEx>
        <w:trPr>
          <w:trHeight w:val="323" w:hRule="atLeast"/>
        </w:trPr>
        <w:tc>
          <w:tcPr>
            <w:tcW w:w="9927" w:type="dxa"/>
            <w:gridSpan w:val="10"/>
            <w:tcBorders>
              <w:top w:val="nil"/>
              <w:left w:val="nil"/>
              <w:bottom w:val="nil"/>
              <w:right w:val="nil"/>
            </w:tcBorders>
            <w:shd w:val="clear" w:color="auto" w:fill="auto"/>
            <w:vAlign w:val="center"/>
          </w:tcPr>
          <w:p>
            <w:pPr>
              <w:widowControl/>
              <w:jc w:val="center"/>
              <w:textAlignment w:val="center"/>
              <w:rPr>
                <w:rFonts w:ascii="仿宋_GB2312" w:hAnsi="宋体" w:eastAsia="仿宋_GB2312" w:cs="仿宋_GB2312"/>
                <w:color w:val="000000"/>
                <w:sz w:val="24"/>
              </w:rPr>
            </w:pPr>
            <w:r>
              <w:rPr>
                <w:rStyle w:val="6"/>
                <w:rFonts w:hAnsi="宋体"/>
              </w:rPr>
              <w:t xml:space="preserve"> </w:t>
            </w:r>
            <w:r>
              <w:rPr>
                <w:rStyle w:val="7"/>
                <w:rFonts w:hAnsi="宋体"/>
              </w:rPr>
              <w:t>项目支出绩效自评表</w:t>
            </w:r>
            <w:r>
              <w:rPr>
                <w:rStyle w:val="8"/>
                <w:rFonts w:hAnsi="宋体"/>
              </w:rPr>
              <w:t xml:space="preserve"> </w:t>
            </w:r>
          </w:p>
        </w:tc>
      </w:tr>
      <w:tr>
        <w:tblPrEx>
          <w:tblCellMar>
            <w:top w:w="0" w:type="dxa"/>
            <w:left w:w="108" w:type="dxa"/>
            <w:bottom w:w="0" w:type="dxa"/>
            <w:right w:w="108" w:type="dxa"/>
          </w:tblCellMar>
        </w:tblPrEx>
        <w:trPr>
          <w:trHeight w:val="355" w:hRule="atLeast"/>
        </w:trPr>
        <w:tc>
          <w:tcPr>
            <w:tcW w:w="9927" w:type="dxa"/>
            <w:gridSpan w:val="10"/>
            <w:tcBorders>
              <w:top w:val="nil"/>
              <w:left w:val="nil"/>
              <w:bottom w:val="nil"/>
              <w:right w:val="nil"/>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Style w:val="9"/>
                <w:rFonts w:hAnsi="宋体"/>
              </w:rPr>
              <w:t>（</w:t>
            </w:r>
            <w:r>
              <w:rPr>
                <w:rStyle w:val="10"/>
                <w:rFonts w:hint="default"/>
                <w:sz w:val="24"/>
                <w:szCs w:val="24"/>
              </w:rPr>
              <w:t>2022</w:t>
            </w:r>
            <w:r>
              <w:rPr>
                <w:rStyle w:val="9"/>
                <w:rFonts w:hAnsi="宋体"/>
              </w:rPr>
              <w:t>年度）</w:t>
            </w:r>
          </w:p>
        </w:tc>
      </w:tr>
      <w:tr>
        <w:tblPrEx>
          <w:tblCellMar>
            <w:top w:w="0" w:type="dxa"/>
            <w:left w:w="108" w:type="dxa"/>
            <w:bottom w:w="0" w:type="dxa"/>
            <w:right w:w="108" w:type="dxa"/>
          </w:tblCellMar>
        </w:tblPrEx>
        <w:trPr>
          <w:trHeight w:val="384"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项目名称</w:t>
            </w:r>
          </w:p>
        </w:tc>
        <w:tc>
          <w:tcPr>
            <w:tcW w:w="8018"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11000022T000000443790-直属单位业务发展-北京高校大学生就业创业工作服务保障人员经费</w:t>
            </w:r>
          </w:p>
        </w:tc>
      </w:tr>
      <w:tr>
        <w:tblPrEx>
          <w:tblCellMar>
            <w:top w:w="0" w:type="dxa"/>
            <w:left w:w="108" w:type="dxa"/>
            <w:bottom w:w="0" w:type="dxa"/>
            <w:right w:w="108" w:type="dxa"/>
          </w:tblCellMar>
        </w:tblPrEx>
        <w:trPr>
          <w:trHeight w:val="384"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北京市教育委员会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实施单位</w:t>
            </w:r>
          </w:p>
        </w:tc>
        <w:tc>
          <w:tcPr>
            <w:tcW w:w="26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北京高校大学生就业创业指导中心</w:t>
            </w:r>
          </w:p>
        </w:tc>
      </w:tr>
      <w:tr>
        <w:tblPrEx>
          <w:tblCellMar>
            <w:top w:w="0" w:type="dxa"/>
            <w:left w:w="108" w:type="dxa"/>
            <w:bottom w:w="0" w:type="dxa"/>
            <w:right w:w="108" w:type="dxa"/>
          </w:tblCellMar>
        </w:tblPrEx>
        <w:trPr>
          <w:trHeight w:val="341" w:hRule="atLeast"/>
        </w:trPr>
        <w:tc>
          <w:tcPr>
            <w:tcW w:w="0" w:type="auto"/>
            <w:gridSpan w:val="3"/>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项目负责人</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刘金毫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联系电话</w:t>
            </w:r>
          </w:p>
        </w:tc>
        <w:tc>
          <w:tcPr>
            <w:tcW w:w="26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仿宋_GB2312" w:hAnsi="宋体" w:eastAsia="仿宋_GB2312" w:cs="仿宋_GB2312"/>
                <w:color w:val="000000"/>
                <w:kern w:val="0"/>
                <w:sz w:val="16"/>
                <w:szCs w:val="16"/>
              </w:rPr>
              <w:t>60910280</w:t>
            </w:r>
          </w:p>
        </w:tc>
      </w:tr>
      <w:tr>
        <w:tblPrEx>
          <w:tblCellMar>
            <w:top w:w="0" w:type="dxa"/>
            <w:left w:w="108" w:type="dxa"/>
            <w:bottom w:w="0" w:type="dxa"/>
            <w:right w:w="108" w:type="dxa"/>
          </w:tblCellMar>
        </w:tblPrEx>
        <w:trPr>
          <w:trHeight w:val="341" w:hRule="atLeast"/>
        </w:trPr>
        <w:tc>
          <w:tcPr>
            <w:tcW w:w="19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项目资金（万元）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Style w:val="11"/>
                <w:rFonts w:hint="eastAsia"/>
              </w:rPr>
              <w:t>年初</w:t>
            </w:r>
            <w:r>
              <w:rPr>
                <w:rFonts w:hint="eastAsia" w:ascii="宋体" w:hAnsi="宋体" w:eastAsia="宋体" w:cs="宋体"/>
                <w:color w:val="000000"/>
                <w:kern w:val="0"/>
                <w:sz w:val="16"/>
                <w:szCs w:val="16"/>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Style w:val="11"/>
                <w:rFonts w:hAnsi="宋体"/>
              </w:rPr>
              <w:t>全年预算数</w:t>
            </w:r>
            <w:r>
              <w:rPr>
                <w:rStyle w:val="12"/>
                <w:rFonts w:hint="default"/>
              </w:rPr>
              <w:t xml:space="preserve">    </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全年执行数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Style w:val="11"/>
                <w:rFonts w:hAnsi="宋体"/>
              </w:rPr>
              <w:t>分值</w:t>
            </w:r>
            <w:r>
              <w:rPr>
                <w:rStyle w:val="12"/>
                <w:rFonts w:hint="default"/>
              </w:rPr>
              <w:t xml:space="preserve">       </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执行率</w:t>
            </w:r>
          </w:p>
        </w:tc>
        <w:tc>
          <w:tcPr>
            <w:tcW w:w="13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得分</w:t>
            </w:r>
          </w:p>
        </w:tc>
      </w:tr>
      <w:tr>
        <w:tblPrEx>
          <w:tblCellMar>
            <w:top w:w="0" w:type="dxa"/>
            <w:left w:w="108" w:type="dxa"/>
            <w:bottom w:w="0" w:type="dxa"/>
            <w:right w:w="108" w:type="dxa"/>
          </w:tblCellMar>
        </w:tblPrEx>
        <w:trPr>
          <w:trHeight w:val="365" w:hRule="atLeast"/>
        </w:trPr>
        <w:tc>
          <w:tcPr>
            <w:tcW w:w="19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422.129718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422.129718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422.129718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r>
      <w:tr>
        <w:tblPrEx>
          <w:tblCellMar>
            <w:top w:w="0" w:type="dxa"/>
            <w:left w:w="108" w:type="dxa"/>
            <w:bottom w:w="0" w:type="dxa"/>
            <w:right w:w="108" w:type="dxa"/>
          </w:tblCellMar>
        </w:tblPrEx>
        <w:trPr>
          <w:trHeight w:val="365" w:hRule="atLeast"/>
        </w:trPr>
        <w:tc>
          <w:tcPr>
            <w:tcW w:w="19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r>
      <w:tr>
        <w:tblPrEx>
          <w:tblCellMar>
            <w:top w:w="0" w:type="dxa"/>
            <w:left w:w="108" w:type="dxa"/>
            <w:bottom w:w="0" w:type="dxa"/>
            <w:right w:w="108" w:type="dxa"/>
          </w:tblCellMar>
        </w:tblPrEx>
        <w:trPr>
          <w:trHeight w:val="341" w:hRule="atLeast"/>
        </w:trPr>
        <w:tc>
          <w:tcPr>
            <w:tcW w:w="19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r>
      <w:tr>
        <w:tblPrEx>
          <w:tblCellMar>
            <w:top w:w="0" w:type="dxa"/>
            <w:left w:w="108" w:type="dxa"/>
            <w:bottom w:w="0" w:type="dxa"/>
            <w:right w:w="108" w:type="dxa"/>
          </w:tblCellMar>
        </w:tblPrEx>
        <w:trPr>
          <w:trHeight w:val="341" w:hRule="atLeast"/>
        </w:trPr>
        <w:tc>
          <w:tcPr>
            <w:tcW w:w="19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其他资金</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422.129718</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422.129718</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422.129718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r>
      <w:tr>
        <w:tblPrEx>
          <w:tblCellMar>
            <w:top w:w="0" w:type="dxa"/>
            <w:left w:w="108" w:type="dxa"/>
            <w:bottom w:w="0" w:type="dxa"/>
            <w:right w:w="108" w:type="dxa"/>
          </w:tblCellMar>
        </w:tblPrEx>
        <w:trPr>
          <w:trHeight w:val="403" w:hRule="atLeast"/>
        </w:trPr>
        <w:tc>
          <w:tcPr>
            <w:tcW w:w="376" w:type="dxa"/>
            <w:vMerge w:val="restart"/>
            <w:tcBorders>
              <w:top w:val="nil"/>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年度总体目标</w:t>
            </w:r>
          </w:p>
        </w:tc>
        <w:tc>
          <w:tcPr>
            <w:tcW w:w="58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预期目标</w:t>
            </w:r>
          </w:p>
        </w:tc>
        <w:tc>
          <w:tcPr>
            <w:tcW w:w="365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实际完成情况</w:t>
            </w:r>
          </w:p>
        </w:tc>
      </w:tr>
      <w:tr>
        <w:tblPrEx>
          <w:tblCellMar>
            <w:top w:w="0" w:type="dxa"/>
            <w:left w:w="108" w:type="dxa"/>
            <w:bottom w:w="0" w:type="dxa"/>
            <w:right w:w="108" w:type="dxa"/>
          </w:tblCellMar>
        </w:tblPrEx>
        <w:trPr>
          <w:trHeight w:val="2925" w:hRule="atLeast"/>
        </w:trPr>
        <w:tc>
          <w:tcPr>
            <w:tcW w:w="376" w:type="dxa"/>
            <w:vMerge w:val="continue"/>
            <w:tcBorders>
              <w:top w:val="nil"/>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 w:val="16"/>
                <w:szCs w:val="16"/>
              </w:rPr>
            </w:pPr>
          </w:p>
        </w:tc>
        <w:tc>
          <w:tcPr>
            <w:tcW w:w="58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1.保障从事北京高校大学生就业创业指导服务工作相关聘用人员的人员经费（工资、保险、公积金、一次性核增绩效工资等）按时发放。 2.保障北京高校大学生就业创业指导服务工作顺利开展并取得实效，完成年度重点工作任务。</w:t>
            </w:r>
          </w:p>
        </w:tc>
        <w:tc>
          <w:tcPr>
            <w:tcW w:w="36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落实“六保”“六稳”工作要求，保障从事北京高校大学生就业创业指导服务工作相关聘用人员工资按时发放、社保公积金按时缴纳，为北京2022届高校毕业生就业创业指导与服务工作提供有力的人员保障。2.建设一支具有较高政策理解和把握能力、具有较高就业创业指导咨询能力、具有较高就业创业工作水平、具有丰富大学生就业市场建设、运营和毕业生学籍就业手续办理工作经验、具有较高大学生就业调查研究分析能力的、稳定的高校大学生就业创业指导与服务工作人员队伍，强化就业创业育人指导实效，促进毕业生高质量就业创业。</w:t>
            </w:r>
          </w:p>
        </w:tc>
      </w:tr>
      <w:tr>
        <w:tblPrEx>
          <w:tblCellMar>
            <w:top w:w="0" w:type="dxa"/>
            <w:left w:w="108" w:type="dxa"/>
            <w:bottom w:w="0" w:type="dxa"/>
            <w:right w:w="108" w:type="dxa"/>
          </w:tblCellMar>
        </w:tblPrEx>
        <w:trPr>
          <w:trHeight w:val="477" w:hRule="atLeast"/>
        </w:trPr>
        <w:tc>
          <w:tcPr>
            <w:tcW w:w="376"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绩效指标</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三级指标</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年度指标值</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实际完成值</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分值</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得分</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偏差原因分析及改进措施</w:t>
            </w:r>
          </w:p>
        </w:tc>
      </w:tr>
      <w:tr>
        <w:tblPrEx>
          <w:tblCellMar>
            <w:top w:w="0" w:type="dxa"/>
            <w:left w:w="108" w:type="dxa"/>
            <w:bottom w:w="0" w:type="dxa"/>
            <w:right w:w="108" w:type="dxa"/>
          </w:tblCellMar>
        </w:tblPrEx>
        <w:trPr>
          <w:trHeight w:val="965" w:hRule="atLeast"/>
        </w:trPr>
        <w:tc>
          <w:tcPr>
            <w:tcW w:w="3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77"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产出指标 （50分）</w:t>
            </w:r>
          </w:p>
        </w:tc>
        <w:tc>
          <w:tcPr>
            <w:tcW w:w="856"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数量指标</w:t>
            </w: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就业创业服务工作保障人员出勤率</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≥90%</w:t>
            </w:r>
          </w:p>
        </w:tc>
        <w:tc>
          <w:tcPr>
            <w:tcW w:w="101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99%</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p>
        </w:tc>
        <w:tc>
          <w:tcPr>
            <w:tcW w:w="77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r>
              <w:rPr>
                <w:rFonts w:ascii="仿宋_GB2312" w:hAnsi="宋体" w:eastAsia="仿宋_GB2312" w:cs="仿宋_GB2312"/>
                <w:color w:val="000000"/>
                <w:kern w:val="0"/>
                <w:sz w:val="16"/>
                <w:szCs w:val="16"/>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965" w:hRule="atLeast"/>
        </w:trPr>
        <w:tc>
          <w:tcPr>
            <w:tcW w:w="3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56"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就业创业服务工作保障人员人数</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≤27人</w:t>
            </w:r>
          </w:p>
        </w:tc>
        <w:tc>
          <w:tcPr>
            <w:tcW w:w="101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27人</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p>
        </w:tc>
        <w:tc>
          <w:tcPr>
            <w:tcW w:w="77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r>
              <w:rPr>
                <w:rFonts w:ascii="仿宋_GB2312" w:hAnsi="宋体" w:eastAsia="仿宋_GB2312" w:cs="仿宋_GB2312"/>
                <w:color w:val="000000"/>
                <w:kern w:val="0"/>
                <w:sz w:val="16"/>
                <w:szCs w:val="16"/>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965" w:hRule="atLeast"/>
        </w:trPr>
        <w:tc>
          <w:tcPr>
            <w:tcW w:w="3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质量指标</w:t>
            </w: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就业创业服务重点工作完成率</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≥90%</w:t>
            </w:r>
          </w:p>
        </w:tc>
        <w:tc>
          <w:tcPr>
            <w:tcW w:w="101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p>
        </w:tc>
        <w:tc>
          <w:tcPr>
            <w:tcW w:w="77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r>
              <w:rPr>
                <w:rFonts w:ascii="仿宋_GB2312" w:hAnsi="宋体" w:eastAsia="仿宋_GB2312" w:cs="仿宋_GB2312"/>
                <w:color w:val="000000"/>
                <w:kern w:val="0"/>
                <w:sz w:val="16"/>
                <w:szCs w:val="16"/>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965" w:hRule="atLeast"/>
        </w:trPr>
        <w:tc>
          <w:tcPr>
            <w:tcW w:w="3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就业创业服务工作保障人员工作完成情况考核合格率</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w:t>
            </w:r>
          </w:p>
        </w:tc>
        <w:tc>
          <w:tcPr>
            <w:tcW w:w="101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p>
        </w:tc>
        <w:tc>
          <w:tcPr>
            <w:tcW w:w="77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r>
              <w:rPr>
                <w:rFonts w:ascii="仿宋_GB2312" w:hAnsi="宋体" w:eastAsia="仿宋_GB2312" w:cs="仿宋_GB2312"/>
                <w:color w:val="000000"/>
                <w:kern w:val="0"/>
                <w:sz w:val="16"/>
                <w:szCs w:val="16"/>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965" w:hRule="atLeast"/>
        </w:trPr>
        <w:tc>
          <w:tcPr>
            <w:tcW w:w="3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56"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时效指标</w:t>
            </w: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就业创业服务工作保障人员工资发放时间晚于规定时间天数</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≤5个工作日</w:t>
            </w:r>
          </w:p>
        </w:tc>
        <w:tc>
          <w:tcPr>
            <w:tcW w:w="101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＜5个工作日</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p>
        </w:tc>
        <w:tc>
          <w:tcPr>
            <w:tcW w:w="77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r>
              <w:rPr>
                <w:rFonts w:ascii="仿宋_GB2312" w:hAnsi="宋体" w:eastAsia="仿宋_GB2312" w:cs="仿宋_GB2312"/>
                <w:color w:val="000000"/>
                <w:kern w:val="0"/>
                <w:sz w:val="16"/>
                <w:szCs w:val="16"/>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Arial" w:hAnsi="Arial" w:eastAsia="宋体" w:cs="Arial"/>
                <w:color w:val="000000"/>
                <w:sz w:val="16"/>
                <w:szCs w:val="16"/>
              </w:rPr>
            </w:pPr>
          </w:p>
        </w:tc>
      </w:tr>
      <w:tr>
        <w:tblPrEx>
          <w:tblCellMar>
            <w:top w:w="0" w:type="dxa"/>
            <w:left w:w="108" w:type="dxa"/>
            <w:bottom w:w="0" w:type="dxa"/>
            <w:right w:w="108" w:type="dxa"/>
          </w:tblCellMar>
        </w:tblPrEx>
        <w:trPr>
          <w:trHeight w:val="965" w:hRule="atLeast"/>
        </w:trPr>
        <w:tc>
          <w:tcPr>
            <w:tcW w:w="3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56"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就业创业服务工作保障人员社保、公积金缴纳时间晚于规定时间天数</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≤5个工作日</w:t>
            </w:r>
          </w:p>
        </w:tc>
        <w:tc>
          <w:tcPr>
            <w:tcW w:w="101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＜5个工作日</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p>
        </w:tc>
        <w:tc>
          <w:tcPr>
            <w:tcW w:w="77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r>
              <w:rPr>
                <w:rFonts w:ascii="仿宋_GB2312" w:hAnsi="宋体" w:eastAsia="仿宋_GB2312" w:cs="仿宋_GB2312"/>
                <w:color w:val="000000"/>
                <w:kern w:val="0"/>
                <w:sz w:val="16"/>
                <w:szCs w:val="16"/>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Arial" w:hAnsi="Arial" w:eastAsia="宋体" w:cs="Arial"/>
                <w:color w:val="000000"/>
                <w:sz w:val="16"/>
                <w:szCs w:val="16"/>
              </w:rPr>
            </w:pPr>
          </w:p>
        </w:tc>
      </w:tr>
      <w:tr>
        <w:tblPrEx>
          <w:tblCellMar>
            <w:top w:w="0" w:type="dxa"/>
            <w:left w:w="108" w:type="dxa"/>
            <w:bottom w:w="0" w:type="dxa"/>
            <w:right w:w="108" w:type="dxa"/>
          </w:tblCellMar>
        </w:tblPrEx>
        <w:trPr>
          <w:trHeight w:val="965" w:hRule="atLeast"/>
        </w:trPr>
        <w:tc>
          <w:tcPr>
            <w:tcW w:w="3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成本指标</w:t>
            </w: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人均人员成本</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≤15.63万元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15.630000 </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p>
        </w:tc>
        <w:tc>
          <w:tcPr>
            <w:tcW w:w="77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r>
              <w:rPr>
                <w:rFonts w:ascii="仿宋_GB2312" w:hAnsi="宋体" w:eastAsia="仿宋_GB2312" w:cs="仿宋_GB2312"/>
                <w:color w:val="000000"/>
                <w:kern w:val="0"/>
                <w:sz w:val="16"/>
                <w:szCs w:val="16"/>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6"/>
                <w:szCs w:val="16"/>
              </w:rPr>
            </w:pPr>
          </w:p>
        </w:tc>
      </w:tr>
      <w:tr>
        <w:tblPrEx>
          <w:tblCellMar>
            <w:top w:w="0" w:type="dxa"/>
            <w:left w:w="108" w:type="dxa"/>
            <w:bottom w:w="0" w:type="dxa"/>
            <w:right w:w="108" w:type="dxa"/>
          </w:tblCellMar>
        </w:tblPrEx>
        <w:trPr>
          <w:trHeight w:val="965" w:hRule="atLeast"/>
        </w:trPr>
        <w:tc>
          <w:tcPr>
            <w:tcW w:w="3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总体人员成本</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≤422.129718万元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422.129718 </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p>
        </w:tc>
        <w:tc>
          <w:tcPr>
            <w:tcW w:w="77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6.25</w:t>
            </w:r>
            <w:r>
              <w:rPr>
                <w:rFonts w:ascii="仿宋_GB2312" w:hAnsi="宋体" w:eastAsia="仿宋_GB2312" w:cs="仿宋_GB2312"/>
                <w:color w:val="000000"/>
                <w:kern w:val="0"/>
                <w:sz w:val="16"/>
                <w:szCs w:val="16"/>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1318" w:hRule="atLeast"/>
        </w:trPr>
        <w:tc>
          <w:tcPr>
            <w:tcW w:w="3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效益指标 （30分）</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社会效益指标</w:t>
            </w: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对北京高校大学生就业创业工作发展的正面影响</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101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30</w:t>
            </w:r>
          </w:p>
        </w:tc>
        <w:tc>
          <w:tcPr>
            <w:tcW w:w="77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29.00 </w:t>
            </w:r>
          </w:p>
        </w:tc>
        <w:tc>
          <w:tcPr>
            <w:tcW w:w="1308"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仿宋_GB2312" w:hAnsi="宋体" w:eastAsia="仿宋_GB2312" w:cs="仿宋_GB2312"/>
                <w:color w:val="000000"/>
                <w:kern w:val="0"/>
                <w:sz w:val="16"/>
                <w:szCs w:val="16"/>
              </w:rPr>
              <w:t>还需进一步提高</w:t>
            </w:r>
            <w:bookmarkStart w:id="0" w:name="_GoBack"/>
            <w:bookmarkEnd w:id="0"/>
            <w:r>
              <w:rPr>
                <w:rFonts w:hint="eastAsia" w:ascii="仿宋_GB2312" w:hAnsi="宋体" w:eastAsia="仿宋_GB2312" w:cs="仿宋_GB2312"/>
                <w:color w:val="000000"/>
                <w:kern w:val="0"/>
                <w:sz w:val="16"/>
                <w:szCs w:val="16"/>
              </w:rPr>
              <w:t>政策理解和把握能力、就业市场建设能力，提升就业创业工作水平。</w:t>
            </w:r>
          </w:p>
        </w:tc>
      </w:tr>
      <w:tr>
        <w:tblPrEx>
          <w:tblCellMar>
            <w:top w:w="0" w:type="dxa"/>
            <w:left w:w="108" w:type="dxa"/>
            <w:bottom w:w="0" w:type="dxa"/>
            <w:right w:w="108" w:type="dxa"/>
          </w:tblCellMar>
        </w:tblPrEx>
        <w:trPr>
          <w:trHeight w:val="1006" w:hRule="atLeast"/>
        </w:trPr>
        <w:tc>
          <w:tcPr>
            <w:tcW w:w="3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满意度指标（10分）</w:t>
            </w:r>
          </w:p>
        </w:tc>
        <w:tc>
          <w:tcPr>
            <w:tcW w:w="856" w:type="dxa"/>
            <w:vMerge w:val="restart"/>
            <w:tcBorders>
              <w:top w:val="nil"/>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服务对象满意度指标</w:t>
            </w: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就业创业服务工作保障人员对缴纳社保、公积金进度满意度</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≥90%</w:t>
            </w:r>
          </w:p>
        </w:tc>
        <w:tc>
          <w:tcPr>
            <w:tcW w:w="101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98.80%</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w:t>
            </w:r>
          </w:p>
        </w:tc>
        <w:tc>
          <w:tcPr>
            <w:tcW w:w="77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5.00 </w:t>
            </w:r>
          </w:p>
        </w:tc>
        <w:tc>
          <w:tcPr>
            <w:tcW w:w="1308"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1006" w:hRule="atLeast"/>
        </w:trPr>
        <w:tc>
          <w:tcPr>
            <w:tcW w:w="3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56" w:type="dxa"/>
            <w:vMerge w:val="continue"/>
            <w:tcBorders>
              <w:top w:val="nil"/>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就业创业服务工作保障人员对工资发放进度满意度</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≥90%</w:t>
            </w:r>
          </w:p>
        </w:tc>
        <w:tc>
          <w:tcPr>
            <w:tcW w:w="101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98.80%</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w:t>
            </w:r>
          </w:p>
        </w:tc>
        <w:tc>
          <w:tcPr>
            <w:tcW w:w="77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5.00 </w:t>
            </w:r>
          </w:p>
        </w:tc>
        <w:tc>
          <w:tcPr>
            <w:tcW w:w="1308"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861" w:hRule="atLeast"/>
        </w:trPr>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99.00 </w:t>
            </w:r>
          </w:p>
        </w:tc>
        <w:tc>
          <w:tcPr>
            <w:tcW w:w="1308" w:type="dxa"/>
            <w:tcBorders>
              <w:top w:val="single" w:color="000000" w:sz="4" w:space="0"/>
              <w:left w:val="nil"/>
              <w:bottom w:val="single" w:color="000000" w:sz="4" w:space="0"/>
              <w:right w:val="single" w:color="000000" w:sz="4" w:space="0"/>
            </w:tcBorders>
            <w:shd w:val="clear" w:color="auto" w:fill="auto"/>
            <w:noWrap/>
            <w:vAlign w:val="center"/>
          </w:tcPr>
          <w:p>
            <w:pPr>
              <w:rPr>
                <w:rFonts w:ascii="仿宋_GB2312" w:hAnsi="宋体" w:eastAsia="仿宋_GB2312" w:cs="仿宋_GB2312"/>
                <w:color w:val="000000"/>
                <w:sz w:val="16"/>
                <w:szCs w:val="16"/>
              </w:rPr>
            </w:pPr>
          </w:p>
        </w:tc>
      </w:tr>
    </w:tbl>
    <w:p/>
    <w:p/>
    <w:sectPr>
      <w:pgSz w:w="11906" w:h="16838"/>
      <w:pgMar w:top="567"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FmOGUzMGY0MzMwZGE2NDg2ODMzNjAxMGJmNGUwNDkifQ=="/>
  </w:docVars>
  <w:rsids>
    <w:rsidRoot w:val="67DF52FA"/>
    <w:rsid w:val="001623D5"/>
    <w:rsid w:val="009F707A"/>
    <w:rsid w:val="00E71B31"/>
    <w:rsid w:val="0DDE4AC9"/>
    <w:rsid w:val="17DE01A8"/>
    <w:rsid w:val="1D3302CC"/>
    <w:rsid w:val="2D171327"/>
    <w:rsid w:val="2DAF5C3A"/>
    <w:rsid w:val="3A071920"/>
    <w:rsid w:val="52B83ACE"/>
    <w:rsid w:val="5382037D"/>
    <w:rsid w:val="67DF52FA"/>
    <w:rsid w:val="769C3EFD"/>
    <w:rsid w:val="7EE51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uiPriority w:val="0"/>
    <w:pPr>
      <w:tabs>
        <w:tab w:val="center" w:pos="4153"/>
        <w:tab w:val="right" w:pos="8306"/>
      </w:tabs>
      <w:snapToGrid w:val="0"/>
      <w:jc w:val="left"/>
    </w:pPr>
    <w:rPr>
      <w:sz w:val="18"/>
      <w:szCs w:val="18"/>
    </w:rPr>
  </w:style>
  <w:style w:type="paragraph" w:styleId="3">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41"/>
    <w:basedOn w:val="5"/>
    <w:uiPriority w:val="0"/>
    <w:rPr>
      <w:rFonts w:hint="default" w:ascii="仿宋_GB2312" w:eastAsia="仿宋_GB2312" w:cs="仿宋_GB2312"/>
      <w:color w:val="000000"/>
      <w:sz w:val="24"/>
      <w:szCs w:val="24"/>
      <w:u w:val="none"/>
    </w:rPr>
  </w:style>
  <w:style w:type="character" w:customStyle="1" w:styleId="7">
    <w:name w:val="font111"/>
    <w:basedOn w:val="5"/>
    <w:uiPriority w:val="0"/>
    <w:rPr>
      <w:rFonts w:hint="default" w:ascii="仿宋_GB2312" w:eastAsia="仿宋_GB2312" w:cs="仿宋_GB2312"/>
      <w:b/>
      <w:bCs/>
      <w:color w:val="000000"/>
      <w:sz w:val="24"/>
      <w:szCs w:val="24"/>
      <w:u w:val="none"/>
    </w:rPr>
  </w:style>
  <w:style w:type="character" w:customStyle="1" w:styleId="8">
    <w:name w:val="font91"/>
    <w:basedOn w:val="5"/>
    <w:uiPriority w:val="0"/>
    <w:rPr>
      <w:rFonts w:hint="default" w:ascii="仿宋_GB2312" w:eastAsia="仿宋_GB2312" w:cs="仿宋_GB2312"/>
      <w:color w:val="000000"/>
      <w:sz w:val="24"/>
      <w:szCs w:val="24"/>
      <w:u w:val="none"/>
    </w:rPr>
  </w:style>
  <w:style w:type="character" w:customStyle="1" w:styleId="9">
    <w:name w:val="font51"/>
    <w:basedOn w:val="5"/>
    <w:qFormat/>
    <w:uiPriority w:val="0"/>
    <w:rPr>
      <w:rFonts w:hint="default" w:ascii="仿宋_GB2312" w:eastAsia="仿宋_GB2312" w:cs="仿宋_GB2312"/>
      <w:color w:val="000000"/>
      <w:sz w:val="22"/>
      <w:szCs w:val="22"/>
      <w:u w:val="none"/>
    </w:rPr>
  </w:style>
  <w:style w:type="character" w:customStyle="1" w:styleId="10">
    <w:name w:val="font122"/>
    <w:basedOn w:val="5"/>
    <w:qFormat/>
    <w:uiPriority w:val="0"/>
    <w:rPr>
      <w:rFonts w:hint="eastAsia" w:ascii="宋体" w:hAnsi="宋体" w:eastAsia="宋体" w:cs="宋体"/>
      <w:color w:val="000000"/>
      <w:sz w:val="22"/>
      <w:szCs w:val="22"/>
      <w:u w:val="none"/>
    </w:rPr>
  </w:style>
  <w:style w:type="character" w:customStyle="1" w:styleId="11">
    <w:name w:val="font71"/>
    <w:basedOn w:val="5"/>
    <w:qFormat/>
    <w:uiPriority w:val="0"/>
    <w:rPr>
      <w:rFonts w:hint="default" w:ascii="仿宋_GB2312" w:eastAsia="仿宋_GB2312" w:cs="仿宋_GB2312"/>
      <w:color w:val="000000"/>
      <w:sz w:val="16"/>
      <w:szCs w:val="16"/>
      <w:u w:val="none"/>
    </w:rPr>
  </w:style>
  <w:style w:type="character" w:customStyle="1" w:styleId="12">
    <w:name w:val="font31"/>
    <w:basedOn w:val="5"/>
    <w:uiPriority w:val="0"/>
    <w:rPr>
      <w:rFonts w:hint="eastAsia" w:ascii="宋体" w:hAnsi="宋体" w:eastAsia="宋体" w:cs="宋体"/>
      <w:color w:val="000000"/>
      <w:sz w:val="16"/>
      <w:szCs w:val="16"/>
      <w:u w:val="none"/>
    </w:rPr>
  </w:style>
  <w:style w:type="character" w:customStyle="1" w:styleId="13">
    <w:name w:val="页眉 Char"/>
    <w:basedOn w:val="5"/>
    <w:link w:val="3"/>
    <w:uiPriority w:val="0"/>
    <w:rPr>
      <w:rFonts w:asciiTheme="minorHAnsi" w:hAnsiTheme="minorHAnsi" w:eastAsiaTheme="minorEastAsia" w:cstheme="minorBidi"/>
      <w:kern w:val="2"/>
      <w:sz w:val="18"/>
      <w:szCs w:val="18"/>
    </w:rPr>
  </w:style>
  <w:style w:type="character" w:customStyle="1" w:styleId="14">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940</Words>
  <Characters>1178</Characters>
  <Lines>4</Lines>
  <Paragraphs>3</Paragraphs>
  <TotalTime>3</TotalTime>
  <ScaleCrop>false</ScaleCrop>
  <LinksUpToDate>false</LinksUpToDate>
  <CharactersWithSpaces>1219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2023-05-09T08:34:00Z</dcterms:created>
  <dc:creator>lenovo</dc:creator>
  <cp:lastModifiedBy>姜</cp:lastModifiedBy>
  <cp:lastPrinted>2023-05-10T02:30:00Z</cp:lastPrinted>
  <dcterms:modified xsi:type="dcterms:W3CDTF">2023-08-16T07:38:46Z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1C496AF71A244166B7EAA07543B1D77C</vt:lpwstr>
  </property>
</Properties>
</file>