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800" w:type="dxa"/>
        <w:tblInd w:w="93" w:type="dxa"/>
        <w:tblLayout w:type="autofit"/>
        <w:tblCellMar>
          <w:top w:w="0" w:type="dxa"/>
          <w:left w:w="108" w:type="dxa"/>
          <w:bottom w:w="0" w:type="dxa"/>
          <w:right w:w="108" w:type="dxa"/>
        </w:tblCellMar>
      </w:tblPr>
      <w:tblGrid>
        <w:gridCol w:w="376"/>
        <w:gridCol w:w="700"/>
        <w:gridCol w:w="1033"/>
        <w:gridCol w:w="2019"/>
        <w:gridCol w:w="1016"/>
        <w:gridCol w:w="1016"/>
        <w:gridCol w:w="936"/>
        <w:gridCol w:w="532"/>
        <w:gridCol w:w="776"/>
        <w:gridCol w:w="1396"/>
      </w:tblGrid>
      <w:tr>
        <w:tblPrEx>
          <w:tblCellMar>
            <w:top w:w="0" w:type="dxa"/>
            <w:left w:w="108" w:type="dxa"/>
            <w:bottom w:w="0" w:type="dxa"/>
            <w:right w:w="108" w:type="dxa"/>
          </w:tblCellMar>
        </w:tblPrEx>
        <w:trPr>
          <w:trHeight w:val="315" w:hRule="atLeast"/>
        </w:trPr>
        <w:tc>
          <w:tcPr>
            <w:tcW w:w="9800" w:type="dxa"/>
            <w:gridSpan w:val="10"/>
            <w:tcBorders>
              <w:top w:val="nil"/>
              <w:left w:val="nil"/>
              <w:bottom w:val="nil"/>
              <w:right w:val="nil"/>
            </w:tcBorders>
            <w:shd w:val="clear" w:color="auto" w:fill="auto"/>
            <w:vAlign w:val="center"/>
          </w:tcPr>
          <w:p>
            <w:pPr>
              <w:widowControl/>
              <w:textAlignment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315" w:hRule="atLeast"/>
        </w:trPr>
        <w:tc>
          <w:tcPr>
            <w:tcW w:w="9800"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4"/>
              </w:rPr>
            </w:pPr>
            <w:r>
              <w:rPr>
                <w:rStyle w:val="6"/>
                <w:rFonts w:hAnsi="宋体"/>
              </w:rPr>
              <w:t xml:space="preserve"> </w:t>
            </w:r>
            <w:r>
              <w:rPr>
                <w:rStyle w:val="7"/>
                <w:rFonts w:hAnsi="宋体"/>
              </w:rPr>
              <w:t>项目支出绩效自评表</w:t>
            </w:r>
            <w:r>
              <w:rPr>
                <w:rStyle w:val="8"/>
                <w:rFonts w:hAnsi="宋体"/>
              </w:rPr>
              <w:t xml:space="preserve"> </w:t>
            </w:r>
          </w:p>
        </w:tc>
      </w:tr>
      <w:tr>
        <w:tblPrEx>
          <w:tblCellMar>
            <w:top w:w="0" w:type="dxa"/>
            <w:left w:w="108" w:type="dxa"/>
            <w:bottom w:w="0" w:type="dxa"/>
            <w:right w:w="108" w:type="dxa"/>
          </w:tblCellMar>
        </w:tblPrEx>
        <w:trPr>
          <w:trHeight w:val="343" w:hRule="atLeast"/>
        </w:trPr>
        <w:tc>
          <w:tcPr>
            <w:tcW w:w="9800"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Style w:val="9"/>
                <w:rFonts w:hAnsi="宋体"/>
              </w:rPr>
              <w:t>（</w:t>
            </w:r>
            <w:r>
              <w:rPr>
                <w:rStyle w:val="10"/>
                <w:rFonts w:hint="default"/>
              </w:rPr>
              <w:t>2022</w:t>
            </w:r>
            <w:r>
              <w:rPr>
                <w:rStyle w:val="9"/>
                <w:rFonts w:hAnsi="宋体"/>
              </w:rPr>
              <w:t>年度）</w:t>
            </w:r>
          </w:p>
        </w:tc>
      </w:tr>
      <w:tr>
        <w:tblPrEx>
          <w:tblCellMar>
            <w:top w:w="0" w:type="dxa"/>
            <w:left w:w="108" w:type="dxa"/>
            <w:bottom w:w="0" w:type="dxa"/>
            <w:right w:w="108" w:type="dxa"/>
          </w:tblCellMar>
        </w:tblPrEx>
        <w:trPr>
          <w:trHeight w:val="37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11000022T000000443680-直属单位业务发展-北京市积分落户教育背景审核服务</w:t>
            </w:r>
          </w:p>
        </w:tc>
      </w:tr>
      <w:tr>
        <w:tblPrEx>
          <w:tblCellMar>
            <w:top w:w="0" w:type="dxa"/>
            <w:left w:w="108" w:type="dxa"/>
            <w:bottom w:w="0" w:type="dxa"/>
            <w:right w:w="108" w:type="dxa"/>
          </w:tblCellMar>
        </w:tblPrEx>
        <w:trPr>
          <w:trHeight w:val="37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 xml:space="preserve"> 北京市教育委员会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实施单位</w:t>
            </w:r>
          </w:p>
        </w:tc>
        <w:tc>
          <w:tcPr>
            <w:tcW w:w="2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北京高校大学生就业创业指导中心</w:t>
            </w:r>
          </w:p>
        </w:tc>
      </w:tr>
      <w:tr>
        <w:tblPrEx>
          <w:tblCellMar>
            <w:top w:w="0" w:type="dxa"/>
            <w:left w:w="108" w:type="dxa"/>
            <w:bottom w:w="0" w:type="dxa"/>
            <w:right w:w="108" w:type="dxa"/>
          </w:tblCellMar>
        </w:tblPrEx>
        <w:trPr>
          <w:trHeight w:val="333" w:hRule="atLeast"/>
        </w:trPr>
        <w:tc>
          <w:tcPr>
            <w:tcW w:w="0" w:type="auto"/>
            <w:gridSpan w:val="3"/>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项目负责人</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王东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联系电话</w:t>
            </w:r>
          </w:p>
        </w:tc>
        <w:tc>
          <w:tcPr>
            <w:tcW w:w="2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60910260</w:t>
            </w:r>
          </w:p>
        </w:tc>
      </w:tr>
      <w:tr>
        <w:tblPrEx>
          <w:tblCellMar>
            <w:top w:w="0" w:type="dxa"/>
            <w:left w:w="108" w:type="dxa"/>
            <w:bottom w:w="0" w:type="dxa"/>
            <w:right w:w="108" w:type="dxa"/>
          </w:tblCellMar>
        </w:tblPrEx>
        <w:trPr>
          <w:trHeight w:val="333" w:hRule="atLeast"/>
        </w:trPr>
        <w:tc>
          <w:tcPr>
            <w:tcW w:w="212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项目资金（万元）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Style w:val="11"/>
                <w:rFonts w:hAnsi="宋体"/>
              </w:rPr>
              <w:t>全年预算数</w:t>
            </w:r>
            <w:r>
              <w:rPr>
                <w:rStyle w:val="12"/>
                <w:rFonts w:hint="default"/>
              </w:rPr>
              <w:t xml:space="preserve">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全年执行数</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Style w:val="11"/>
                <w:rFonts w:hAnsi="宋体"/>
              </w:rPr>
              <w:t>分值</w:t>
            </w:r>
            <w:r>
              <w:rPr>
                <w:rStyle w:val="12"/>
                <w:rFonts w:hint="default"/>
              </w:rPr>
              <w:t xml:space="preserve">       </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r>
      <w:tr>
        <w:tblPrEx>
          <w:tblCellMar>
            <w:top w:w="0" w:type="dxa"/>
            <w:left w:w="108" w:type="dxa"/>
            <w:bottom w:w="0" w:type="dxa"/>
            <w:right w:w="108" w:type="dxa"/>
          </w:tblCellMar>
        </w:tblPrEx>
        <w:trPr>
          <w:trHeight w:val="353" w:hRule="atLeast"/>
        </w:trPr>
        <w:tc>
          <w:tcPr>
            <w:tcW w:w="2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33.400000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31.806000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31.806000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r>
      <w:tr>
        <w:tblPrEx>
          <w:tblCellMar>
            <w:top w:w="0" w:type="dxa"/>
            <w:left w:w="108" w:type="dxa"/>
            <w:bottom w:w="0" w:type="dxa"/>
            <w:right w:w="108" w:type="dxa"/>
          </w:tblCellMar>
        </w:tblPrEx>
        <w:trPr>
          <w:trHeight w:val="353" w:hRule="atLeast"/>
        </w:trPr>
        <w:tc>
          <w:tcPr>
            <w:tcW w:w="2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33.400000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31.806000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31.806000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33" w:hRule="atLeast"/>
        </w:trPr>
        <w:tc>
          <w:tcPr>
            <w:tcW w:w="2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33" w:hRule="atLeast"/>
        </w:trPr>
        <w:tc>
          <w:tcPr>
            <w:tcW w:w="2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其他资金</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ascii="仿宋_GB2312" w:hAnsi="宋体" w:eastAsia="仿宋_GB2312" w:cs="仿宋_GB2312"/>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25" w:hRule="atLeast"/>
        </w:trPr>
        <w:tc>
          <w:tcPr>
            <w:tcW w:w="367" w:type="dxa"/>
            <w:vMerge w:val="restart"/>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年度总体目标</w:t>
            </w:r>
          </w:p>
        </w:tc>
        <w:tc>
          <w:tcPr>
            <w:tcW w:w="5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实际完成情况</w:t>
            </w:r>
          </w:p>
        </w:tc>
      </w:tr>
      <w:tr>
        <w:tblPrEx>
          <w:tblCellMar>
            <w:top w:w="0" w:type="dxa"/>
            <w:left w:w="108" w:type="dxa"/>
            <w:bottom w:w="0" w:type="dxa"/>
            <w:right w:w="108" w:type="dxa"/>
          </w:tblCellMar>
        </w:tblPrEx>
        <w:trPr>
          <w:trHeight w:val="3164" w:hRule="atLeast"/>
        </w:trPr>
        <w:tc>
          <w:tcPr>
            <w:tcW w:w="367" w:type="dxa"/>
            <w:vMerge w:val="continue"/>
            <w:tcBorders>
              <w:top w:val="nil"/>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 w:val="16"/>
                <w:szCs w:val="16"/>
              </w:rPr>
            </w:pPr>
          </w:p>
        </w:tc>
        <w:tc>
          <w:tcPr>
            <w:tcW w:w="5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（1）完成2022年北京市积分落户教育背景中的学位信息比对工作； </w:t>
            </w:r>
            <w:r>
              <w:rPr>
                <w:rFonts w:ascii="仿宋_GB2312" w:hAnsi="宋体" w:eastAsia="仿宋_GB2312" w:cs="仿宋_GB2312"/>
                <w:color w:val="000000"/>
                <w:kern w:val="0"/>
                <w:sz w:val="16"/>
                <w:szCs w:val="16"/>
              </w:rPr>
              <w:br w:type="textWrapping"/>
            </w:r>
            <w:r>
              <w:rPr>
                <w:rFonts w:ascii="仿宋_GB2312" w:hAnsi="宋体" w:eastAsia="仿宋_GB2312" w:cs="仿宋_GB2312"/>
                <w:color w:val="000000"/>
                <w:kern w:val="0"/>
                <w:sz w:val="16"/>
                <w:szCs w:val="16"/>
              </w:rPr>
              <w:t>（2）完成2022年北京市积分落户教育背景国（境）外学历学位不在官网查询范围的数据需要教育部留学服务中心协助核查的工作；</w:t>
            </w:r>
            <w:r>
              <w:rPr>
                <w:rFonts w:ascii="仿宋_GB2312" w:hAnsi="宋体" w:eastAsia="仿宋_GB2312" w:cs="仿宋_GB2312"/>
                <w:color w:val="000000"/>
                <w:kern w:val="0"/>
                <w:sz w:val="16"/>
                <w:szCs w:val="16"/>
              </w:rPr>
              <w:br w:type="textWrapping"/>
            </w:r>
            <w:r>
              <w:rPr>
                <w:rFonts w:ascii="仿宋_GB2312" w:hAnsi="宋体" w:eastAsia="仿宋_GB2312" w:cs="仿宋_GB2312"/>
                <w:color w:val="000000"/>
                <w:kern w:val="0"/>
                <w:sz w:val="16"/>
                <w:szCs w:val="16"/>
              </w:rPr>
              <w:t>（3）完成2022年北京市积分落户教育背景中在官网查询范围之内的国（境）外学历学位教育背景指标和进入复查的国内学历学位教育背景指标进行核查比对工作；</w:t>
            </w:r>
            <w:r>
              <w:rPr>
                <w:rFonts w:ascii="仿宋_GB2312" w:hAnsi="宋体" w:eastAsia="仿宋_GB2312" w:cs="仿宋_GB2312"/>
                <w:color w:val="000000"/>
                <w:kern w:val="0"/>
                <w:sz w:val="16"/>
                <w:szCs w:val="16"/>
              </w:rPr>
              <w:br w:type="textWrapping"/>
            </w:r>
            <w:r>
              <w:rPr>
                <w:rFonts w:ascii="仿宋_GB2312" w:hAnsi="宋体" w:eastAsia="仿宋_GB2312" w:cs="仿宋_GB2312"/>
                <w:color w:val="000000"/>
                <w:kern w:val="0"/>
                <w:sz w:val="16"/>
                <w:szCs w:val="16"/>
              </w:rPr>
              <w:t>（4）完成2022年北京市积分落户教育背景相关异议诉求处理工作。</w:t>
            </w:r>
          </w:p>
        </w:tc>
        <w:tc>
          <w:tcPr>
            <w:tcW w:w="36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（1）完成2022年北京市积分落户教育背景中的学位信息比对工作； </w:t>
            </w:r>
            <w:r>
              <w:rPr>
                <w:rFonts w:ascii="仿宋_GB2312" w:hAnsi="宋体" w:eastAsia="仿宋_GB2312" w:cs="仿宋_GB2312"/>
                <w:color w:val="000000"/>
                <w:kern w:val="0"/>
                <w:sz w:val="16"/>
                <w:szCs w:val="16"/>
              </w:rPr>
              <w:br w:type="textWrapping"/>
            </w:r>
            <w:r>
              <w:rPr>
                <w:rFonts w:ascii="仿宋_GB2312" w:hAnsi="宋体" w:eastAsia="仿宋_GB2312" w:cs="仿宋_GB2312"/>
                <w:color w:val="000000"/>
                <w:kern w:val="0"/>
                <w:sz w:val="16"/>
                <w:szCs w:val="16"/>
              </w:rPr>
              <w:t>（2）完成2022年北京市积分落户教育背景国（境）外学历学位不在官网查询范围的数据需要教育部留学服务中心协助核查的工作；</w:t>
            </w:r>
            <w:r>
              <w:rPr>
                <w:rFonts w:ascii="仿宋_GB2312" w:hAnsi="宋体" w:eastAsia="仿宋_GB2312" w:cs="仿宋_GB2312"/>
                <w:color w:val="000000"/>
                <w:kern w:val="0"/>
                <w:sz w:val="16"/>
                <w:szCs w:val="16"/>
              </w:rPr>
              <w:br w:type="textWrapping"/>
            </w:r>
            <w:r>
              <w:rPr>
                <w:rFonts w:ascii="仿宋_GB2312" w:hAnsi="宋体" w:eastAsia="仿宋_GB2312" w:cs="仿宋_GB2312"/>
                <w:color w:val="000000"/>
                <w:kern w:val="0"/>
                <w:sz w:val="16"/>
                <w:szCs w:val="16"/>
              </w:rPr>
              <w:t>（3）完成2022年北京市积分落户教育背景中在官网查询范围之内的国（境）外学历学位教育背景指标和进入复查的国内学历学位教育背景指标进行核查比对工作；</w:t>
            </w:r>
            <w:r>
              <w:rPr>
                <w:rFonts w:ascii="仿宋_GB2312" w:hAnsi="宋体" w:eastAsia="仿宋_GB2312" w:cs="仿宋_GB2312"/>
                <w:color w:val="000000"/>
                <w:kern w:val="0"/>
                <w:sz w:val="16"/>
                <w:szCs w:val="16"/>
              </w:rPr>
              <w:br w:type="textWrapping"/>
            </w:r>
            <w:r>
              <w:rPr>
                <w:rFonts w:ascii="仿宋_GB2312" w:hAnsi="宋体" w:eastAsia="仿宋_GB2312" w:cs="仿宋_GB2312"/>
                <w:color w:val="000000"/>
                <w:kern w:val="0"/>
                <w:sz w:val="16"/>
                <w:szCs w:val="16"/>
              </w:rPr>
              <w:t>（4）完成2022年北京市积分落户教育背景相关异议诉求处理工作</w:t>
            </w:r>
          </w:p>
        </w:tc>
      </w:tr>
      <w:tr>
        <w:tblPrEx>
          <w:tblCellMar>
            <w:top w:w="0" w:type="dxa"/>
            <w:left w:w="108" w:type="dxa"/>
            <w:bottom w:w="0" w:type="dxa"/>
            <w:right w:w="108" w:type="dxa"/>
          </w:tblCellMar>
        </w:tblPrEx>
        <w:trPr>
          <w:trHeight w:val="556" w:hRule="atLeast"/>
        </w:trPr>
        <w:tc>
          <w:tcPr>
            <w:tcW w:w="367"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绩效指标</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三级指标</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年度指标值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实际完成值</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分值</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偏差原因分析及改进措施</w:t>
            </w:r>
          </w:p>
        </w:tc>
      </w:tr>
      <w:tr>
        <w:tblPrEx>
          <w:tblCellMar>
            <w:top w:w="0" w:type="dxa"/>
            <w:left w:w="108" w:type="dxa"/>
            <w:bottom w:w="0" w:type="dxa"/>
            <w:right w:w="108" w:type="dxa"/>
          </w:tblCellMar>
        </w:tblPrEx>
        <w:trPr>
          <w:trHeight w:val="640"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产出指标（50分）</w:t>
            </w:r>
          </w:p>
        </w:tc>
        <w:tc>
          <w:tcPr>
            <w:tcW w:w="1044"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数量指标</w:t>
            </w: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完成2022年北京市积分落户教育背景指标学位信息比对工作 </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≥120000</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122219</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2</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2</w:t>
            </w:r>
            <w:r>
              <w:rPr>
                <w:rFonts w:ascii="仿宋_GB2312" w:hAnsi="宋体" w:eastAsia="仿宋_GB2312" w:cs="仿宋_GB2312"/>
                <w:color w:val="000000"/>
                <w:kern w:val="0"/>
                <w:sz w:val="16"/>
                <w:szCs w:val="16"/>
              </w:rPr>
              <w:t xml:space="preserve">.00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1271"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完成2022年北京市积分落户教育背景相关异议诉求处理工作</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≥500</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382</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2</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0.82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异议申诉处理数量每年动态变化，不可预测，以当年北京市积分落户实际申报情况为准</w:t>
            </w:r>
          </w:p>
        </w:tc>
      </w:tr>
      <w:tr>
        <w:tblPrEx>
          <w:tblCellMar>
            <w:top w:w="0" w:type="dxa"/>
            <w:left w:w="108" w:type="dxa"/>
            <w:bottom w:w="0" w:type="dxa"/>
            <w:right w:w="108" w:type="dxa"/>
          </w:tblCellMar>
        </w:tblPrEx>
        <w:trPr>
          <w:trHeight w:val="956"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完成2022年北京市积分落户教育背景指标国（境）外学历学位信息比对工作</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≥1500</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2788</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2</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2</w:t>
            </w:r>
            <w:r>
              <w:rPr>
                <w:rFonts w:ascii="仿宋_GB2312" w:hAnsi="宋体" w:eastAsia="仿宋_GB2312" w:cs="仿宋_GB2312"/>
                <w:color w:val="000000"/>
                <w:kern w:val="0"/>
                <w:sz w:val="16"/>
                <w:szCs w:val="16"/>
              </w:rPr>
              <w:t xml:space="preserve">.00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77"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质量指标</w:t>
            </w:r>
          </w:p>
        </w:tc>
        <w:tc>
          <w:tcPr>
            <w:tcW w:w="2041"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贯彻落实《北京市积分落户管理办法(试行)》文件精神</w:t>
            </w:r>
          </w:p>
        </w:tc>
        <w:tc>
          <w:tcPr>
            <w:tcW w:w="198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956"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时效指标</w:t>
            </w:r>
          </w:p>
        </w:tc>
        <w:tc>
          <w:tcPr>
            <w:tcW w:w="2041"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按照北京市积分落户工作统一部署，4-8月份完成教育背景指标学位信息比对工作</w:t>
            </w:r>
          </w:p>
        </w:tc>
        <w:tc>
          <w:tcPr>
            <w:tcW w:w="198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717"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成本指标</w:t>
            </w: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服务费</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5.600000 </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10</w:t>
            </w:r>
            <w:r>
              <w:rPr>
                <w:rFonts w:ascii="仿宋_GB2312" w:hAnsi="宋体" w:eastAsia="仿宋_GB2312" w:cs="仿宋_GB2312"/>
                <w:color w:val="000000"/>
                <w:kern w:val="0"/>
                <w:sz w:val="16"/>
                <w:szCs w:val="16"/>
              </w:rPr>
              <w:t xml:space="preserve">.00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717"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劳务费</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1.206000 </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4</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4</w:t>
            </w:r>
            <w:r>
              <w:rPr>
                <w:rFonts w:ascii="仿宋_GB2312" w:hAnsi="宋体" w:eastAsia="仿宋_GB2312" w:cs="仿宋_GB2312"/>
                <w:color w:val="000000"/>
                <w:kern w:val="0"/>
                <w:sz w:val="16"/>
                <w:szCs w:val="16"/>
              </w:rPr>
              <w:t xml:space="preserve">.00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717"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学位查询技术服务费</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25.000000 </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10</w:t>
            </w:r>
            <w:r>
              <w:rPr>
                <w:rFonts w:ascii="仿宋_GB2312" w:hAnsi="宋体" w:eastAsia="仿宋_GB2312" w:cs="仿宋_GB2312"/>
                <w:color w:val="000000"/>
                <w:kern w:val="0"/>
                <w:sz w:val="16"/>
                <w:szCs w:val="16"/>
              </w:rPr>
              <w:t xml:space="preserve">.00 </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956"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效益指标（30分）</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经济效益指标</w:t>
            </w:r>
          </w:p>
        </w:tc>
        <w:tc>
          <w:tcPr>
            <w:tcW w:w="2041"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项目单位以公益服务为主要工作任务，北京市积分落户教育背景审核工作是一项公益性的项目。</w:t>
            </w:r>
          </w:p>
        </w:tc>
        <w:tc>
          <w:tcPr>
            <w:tcW w:w="198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优</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441"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1271"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社会效益指标</w:t>
            </w:r>
          </w:p>
        </w:tc>
        <w:tc>
          <w:tcPr>
            <w:tcW w:w="2041"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通过按时、高质量完成积分落户教育背景指标审核工作，确保北京市积分落户工作整体平稳有序进行和社会稳定。</w:t>
            </w:r>
          </w:p>
        </w:tc>
        <w:tc>
          <w:tcPr>
            <w:tcW w:w="198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441"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1587"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可持续影响指标</w:t>
            </w:r>
          </w:p>
        </w:tc>
        <w:tc>
          <w:tcPr>
            <w:tcW w:w="2041"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深入贯彻落实户籍制度改革精神，坚持和强化首都城市战略定位，进一步加强人口服务和管理，逐步有序推进长期在京稳定就业和生活的常住人口落户工作。</w:t>
            </w:r>
          </w:p>
        </w:tc>
        <w:tc>
          <w:tcPr>
            <w:tcW w:w="198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441"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818" w:hRule="atLeast"/>
        </w:trPr>
        <w:tc>
          <w:tcPr>
            <w:tcW w:w="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满意度指标（10分）</w:t>
            </w:r>
          </w:p>
        </w:tc>
        <w:tc>
          <w:tcPr>
            <w:tcW w:w="1044" w:type="dxa"/>
            <w:tcBorders>
              <w:top w:val="nil"/>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服务对象      满意度指标</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相应满意度指标</w:t>
            </w:r>
          </w:p>
        </w:tc>
        <w:tc>
          <w:tcPr>
            <w:tcW w:w="198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≥85%</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5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441"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77"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98.82 </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25" w:hRule="atLeast"/>
        </w:trPr>
        <w:tc>
          <w:tcPr>
            <w:tcW w:w="0" w:type="auto"/>
            <w:gridSpan w:val="10"/>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bookmarkStart w:id="0" w:name="_GoBack"/>
            <w:bookmarkEnd w:id="0"/>
          </w:p>
        </w:tc>
      </w:tr>
      <w:tr>
        <w:tblPrEx>
          <w:tblCellMar>
            <w:top w:w="0" w:type="dxa"/>
            <w:left w:w="108" w:type="dxa"/>
            <w:bottom w:w="0" w:type="dxa"/>
            <w:right w:w="108" w:type="dxa"/>
          </w:tblCellMar>
        </w:tblPrEx>
        <w:trPr>
          <w:trHeight w:val="323" w:hRule="atLeast"/>
        </w:trPr>
        <w:tc>
          <w:tcPr>
            <w:tcW w:w="0" w:type="auto"/>
            <w:gridSpan w:val="10"/>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1261" w:hRule="atLeast"/>
        </w:trPr>
        <w:tc>
          <w:tcPr>
            <w:tcW w:w="9800" w:type="dxa"/>
            <w:gridSpan w:val="10"/>
            <w:tcBorders>
              <w:top w:val="nil"/>
              <w:left w:val="nil"/>
              <w:bottom w:val="nil"/>
              <w:right w:val="nil"/>
            </w:tcBorders>
            <w:shd w:val="clear" w:color="auto" w:fill="auto"/>
            <w:vAlign w:val="center"/>
          </w:tcPr>
          <w:p>
            <w:pPr>
              <w:widowControl/>
              <w:jc w:val="left"/>
              <w:textAlignment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15"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315"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6"/>
                <w:szCs w:val="16"/>
              </w:rPr>
            </w:pPr>
          </w:p>
        </w:tc>
      </w:tr>
    </w:tbl>
    <w:p/>
    <w:sectPr>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E1ZWM0NjZmNjcxMWM1MGE2OTZkZjZlMTgwZTAwOTMifQ=="/>
  </w:docVars>
  <w:rsids>
    <w:rsidRoot w:val="00172A27"/>
    <w:rsid w:val="00172A27"/>
    <w:rsid w:val="005F18F5"/>
    <w:rsid w:val="006C4783"/>
    <w:rsid w:val="00B05E27"/>
    <w:rsid w:val="00B417EB"/>
    <w:rsid w:val="00D635F4"/>
    <w:rsid w:val="00DC50EF"/>
    <w:rsid w:val="00E876CC"/>
    <w:rsid w:val="06E43093"/>
    <w:rsid w:val="0F485CFC"/>
    <w:rsid w:val="2D6150C9"/>
    <w:rsid w:val="30974F60"/>
    <w:rsid w:val="310A5862"/>
    <w:rsid w:val="37DD25FC"/>
    <w:rsid w:val="42066AC1"/>
    <w:rsid w:val="44C449AF"/>
    <w:rsid w:val="613A43F9"/>
    <w:rsid w:val="618B456C"/>
    <w:rsid w:val="674F2B58"/>
    <w:rsid w:val="6B482CC7"/>
    <w:rsid w:val="707F0182"/>
    <w:rsid w:val="73373C88"/>
    <w:rsid w:val="73DC3026"/>
    <w:rsid w:val="7F8C4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uiPriority w:val="0"/>
    <w:pPr>
      <w:tabs>
        <w:tab w:val="center" w:pos="4153"/>
        <w:tab w:val="right" w:pos="8306"/>
      </w:tabs>
      <w:snapToGrid w:val="0"/>
      <w:jc w:val="left"/>
    </w:pPr>
    <w:rPr>
      <w:sz w:val="18"/>
      <w:szCs w:val="18"/>
    </w:rPr>
  </w:style>
  <w:style w:type="paragraph" w:styleId="3">
    <w:name w:val="header"/>
    <w:basedOn w:val="1"/>
    <w:link w:val="13"/>
    <w:uiPriority w:val="0"/>
    <w:pPr>
      <w:pBdr>
        <w:bottom w:val="single" w:color="auto" w:sz="6" w:space="1"/>
      </w:pBdr>
      <w:tabs>
        <w:tab w:val="center" w:pos="4153"/>
        <w:tab w:val="right" w:pos="8306"/>
      </w:tabs>
      <w:snapToGrid w:val="0"/>
      <w:jc w:val="center"/>
    </w:pPr>
    <w:rPr>
      <w:sz w:val="18"/>
      <w:szCs w:val="18"/>
    </w:rPr>
  </w:style>
  <w:style w:type="character" w:customStyle="1" w:styleId="6">
    <w:name w:val="font41"/>
    <w:basedOn w:val="5"/>
    <w:uiPriority w:val="0"/>
    <w:rPr>
      <w:rFonts w:hint="default" w:ascii="仿宋_GB2312" w:eastAsia="仿宋_GB2312" w:cs="仿宋_GB2312"/>
      <w:color w:val="000000"/>
      <w:sz w:val="24"/>
      <w:szCs w:val="24"/>
      <w:u w:val="none"/>
    </w:rPr>
  </w:style>
  <w:style w:type="character" w:customStyle="1" w:styleId="7">
    <w:name w:val="font151"/>
    <w:basedOn w:val="5"/>
    <w:uiPriority w:val="0"/>
    <w:rPr>
      <w:rFonts w:hint="default" w:ascii="仿宋_GB2312" w:eastAsia="仿宋_GB2312" w:cs="仿宋_GB2312"/>
      <w:b/>
      <w:bCs/>
      <w:color w:val="000000"/>
      <w:sz w:val="24"/>
      <w:szCs w:val="24"/>
      <w:u w:val="none"/>
    </w:rPr>
  </w:style>
  <w:style w:type="character" w:customStyle="1" w:styleId="8">
    <w:name w:val="font121"/>
    <w:basedOn w:val="5"/>
    <w:qFormat/>
    <w:uiPriority w:val="0"/>
    <w:rPr>
      <w:rFonts w:hint="default" w:ascii="仿宋_GB2312" w:eastAsia="仿宋_GB2312" w:cs="仿宋_GB2312"/>
      <w:color w:val="000000"/>
      <w:sz w:val="24"/>
      <w:szCs w:val="24"/>
      <w:u w:val="none"/>
    </w:rPr>
  </w:style>
  <w:style w:type="character" w:customStyle="1" w:styleId="9">
    <w:name w:val="font51"/>
    <w:basedOn w:val="5"/>
    <w:uiPriority w:val="0"/>
    <w:rPr>
      <w:rFonts w:hint="default" w:ascii="仿宋_GB2312" w:eastAsia="仿宋_GB2312" w:cs="仿宋_GB2312"/>
      <w:color w:val="000000"/>
      <w:sz w:val="22"/>
      <w:szCs w:val="22"/>
      <w:u w:val="none"/>
    </w:rPr>
  </w:style>
  <w:style w:type="character" w:customStyle="1" w:styleId="10">
    <w:name w:val="font161"/>
    <w:basedOn w:val="5"/>
    <w:uiPriority w:val="0"/>
    <w:rPr>
      <w:rFonts w:hint="eastAsia" w:ascii="宋体" w:hAnsi="宋体" w:eastAsia="宋体" w:cs="宋体"/>
      <w:color w:val="000000"/>
      <w:sz w:val="22"/>
      <w:szCs w:val="22"/>
      <w:u w:val="none"/>
    </w:rPr>
  </w:style>
  <w:style w:type="character" w:customStyle="1" w:styleId="11">
    <w:name w:val="font71"/>
    <w:basedOn w:val="5"/>
    <w:uiPriority w:val="0"/>
    <w:rPr>
      <w:rFonts w:hint="default" w:ascii="仿宋_GB2312" w:eastAsia="仿宋_GB2312" w:cs="仿宋_GB2312"/>
      <w:color w:val="000000"/>
      <w:sz w:val="16"/>
      <w:szCs w:val="16"/>
      <w:u w:val="none"/>
    </w:rPr>
  </w:style>
  <w:style w:type="character" w:customStyle="1" w:styleId="12">
    <w:name w:val="font61"/>
    <w:basedOn w:val="5"/>
    <w:uiPriority w:val="0"/>
    <w:rPr>
      <w:rFonts w:hint="eastAsia" w:ascii="宋体" w:hAnsi="宋体" w:eastAsia="宋体" w:cs="宋体"/>
      <w:color w:val="000000"/>
      <w:sz w:val="16"/>
      <w:szCs w:val="16"/>
      <w:u w:val="none"/>
    </w:rPr>
  </w:style>
  <w:style w:type="character" w:customStyle="1" w:styleId="13">
    <w:name w:val="页眉 Char"/>
    <w:basedOn w:val="5"/>
    <w:link w:val="3"/>
    <w:uiPriority w:val="0"/>
    <w:rPr>
      <w:rFonts w:asciiTheme="minorHAnsi" w:hAnsiTheme="minorHAnsi" w:eastAsiaTheme="minorEastAsia" w:cstheme="minorBidi"/>
      <w:kern w:val="2"/>
      <w:sz w:val="18"/>
      <w:szCs w:val="18"/>
    </w:rPr>
  </w:style>
  <w:style w:type="character" w:customStyle="1" w:styleId="14">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1394</Words>
  <Characters>1690</Characters>
  <Lines>13</Lines>
  <Paragraphs>3</Paragraphs>
  <TotalTime>40</TotalTime>
  <ScaleCrop>false</ScaleCrop>
  <LinksUpToDate>false</LinksUpToDate>
  <CharactersWithSpaces>1742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2023-05-09T08:05:00Z</dcterms:created>
  <dc:creator>lenovo</dc:creator>
  <cp:lastModifiedBy>晓爽</cp:lastModifiedBy>
  <cp:lastPrinted>2023-05-10T02:25:00Z</cp:lastPrinted>
  <dcterms:modified xsi:type="dcterms:W3CDTF">2023-07-02T03:19:17Z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96FFA3DA29724734B23468C9081B66A1</vt:lpwstr>
  </property>
</Properties>
</file>