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62" w:type="dxa"/>
        <w:tblInd w:w="93" w:type="dxa"/>
        <w:tblLayout w:type="autofit"/>
        <w:tblCellMar>
          <w:top w:w="0" w:type="dxa"/>
          <w:left w:w="108" w:type="dxa"/>
          <w:bottom w:w="0" w:type="dxa"/>
          <w:right w:w="108" w:type="dxa"/>
        </w:tblCellMar>
      </w:tblPr>
      <w:tblGrid>
        <w:gridCol w:w="376"/>
        <w:gridCol w:w="621"/>
        <w:gridCol w:w="984"/>
        <w:gridCol w:w="1944"/>
        <w:gridCol w:w="1016"/>
        <w:gridCol w:w="1016"/>
        <w:gridCol w:w="1103"/>
        <w:gridCol w:w="456"/>
        <w:gridCol w:w="696"/>
        <w:gridCol w:w="1850"/>
      </w:tblGrid>
      <w:tr>
        <w:tblPrEx>
          <w:tblCellMar>
            <w:top w:w="0" w:type="dxa"/>
            <w:left w:w="108" w:type="dxa"/>
            <w:bottom w:w="0" w:type="dxa"/>
            <w:right w:w="108" w:type="dxa"/>
          </w:tblCellMar>
        </w:tblPrEx>
        <w:trPr>
          <w:trHeight w:val="315" w:hRule="atLeast"/>
        </w:trPr>
        <w:tc>
          <w:tcPr>
            <w:tcW w:w="10062" w:type="dxa"/>
            <w:gridSpan w:val="10"/>
            <w:tcBorders>
              <w:top w:val="nil"/>
              <w:left w:val="nil"/>
              <w:bottom w:val="nil"/>
              <w:right w:val="nil"/>
            </w:tcBorders>
            <w:shd w:val="clear" w:color="auto" w:fill="auto"/>
            <w:vAlign w:val="center"/>
          </w:tcPr>
          <w:p>
            <w:pPr>
              <w:widowControl/>
              <w:textAlignment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315" w:hRule="atLeast"/>
        </w:trPr>
        <w:tc>
          <w:tcPr>
            <w:tcW w:w="10062"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4"/>
              </w:rPr>
            </w:pPr>
            <w:r>
              <w:rPr>
                <w:rStyle w:val="6"/>
                <w:rFonts w:hAnsi="宋体"/>
              </w:rPr>
              <w:t xml:space="preserve"> </w:t>
            </w:r>
            <w:r>
              <w:rPr>
                <w:rStyle w:val="7"/>
                <w:rFonts w:hAnsi="宋体"/>
              </w:rPr>
              <w:t>项目支出绩效自评表</w:t>
            </w:r>
            <w:r>
              <w:rPr>
                <w:rStyle w:val="8"/>
                <w:rFonts w:hAnsi="宋体"/>
              </w:rPr>
              <w:t xml:space="preserve"> </w:t>
            </w:r>
          </w:p>
        </w:tc>
      </w:tr>
      <w:tr>
        <w:tblPrEx>
          <w:tblCellMar>
            <w:top w:w="0" w:type="dxa"/>
            <w:left w:w="108" w:type="dxa"/>
            <w:bottom w:w="0" w:type="dxa"/>
            <w:right w:w="108" w:type="dxa"/>
          </w:tblCellMar>
        </w:tblPrEx>
        <w:trPr>
          <w:trHeight w:val="343" w:hRule="atLeast"/>
        </w:trPr>
        <w:tc>
          <w:tcPr>
            <w:tcW w:w="10062" w:type="dxa"/>
            <w:gridSpan w:val="10"/>
            <w:tcBorders>
              <w:top w:val="nil"/>
              <w:left w:val="nil"/>
              <w:bottom w:val="nil"/>
              <w:right w:val="nil"/>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Style w:val="9"/>
                <w:rFonts w:hAnsi="宋体"/>
              </w:rPr>
              <w:t>（</w:t>
            </w:r>
            <w:r>
              <w:rPr>
                <w:rStyle w:val="10"/>
                <w:rFonts w:hint="default"/>
              </w:rPr>
              <w:t>2022</w:t>
            </w:r>
            <w:r>
              <w:rPr>
                <w:rStyle w:val="9"/>
                <w:rFonts w:hAnsi="宋体"/>
              </w:rPr>
              <w:t>年度）</w:t>
            </w:r>
          </w:p>
        </w:tc>
      </w:tr>
      <w:tr>
        <w:tblPrEx>
          <w:tblCellMar>
            <w:top w:w="0" w:type="dxa"/>
            <w:left w:w="108" w:type="dxa"/>
            <w:bottom w:w="0" w:type="dxa"/>
            <w:right w:w="108" w:type="dxa"/>
          </w:tblCellMar>
        </w:tblPrEx>
        <w:trPr>
          <w:trHeight w:val="37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项目名称</w:t>
            </w:r>
          </w:p>
        </w:tc>
        <w:tc>
          <w:tcPr>
            <w:tcW w:w="8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11000022T000001713907-大学生就业创业-高校毕业生就业状况跟踪调查</w:t>
            </w:r>
          </w:p>
        </w:tc>
      </w:tr>
      <w:tr>
        <w:tblPrEx>
          <w:tblCellMar>
            <w:top w:w="0" w:type="dxa"/>
            <w:left w:w="108" w:type="dxa"/>
            <w:bottom w:w="0" w:type="dxa"/>
            <w:right w:w="108" w:type="dxa"/>
          </w:tblCellMar>
        </w:tblPrEx>
        <w:trPr>
          <w:trHeight w:val="37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北京市教育委员会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实施单位</w:t>
            </w:r>
          </w:p>
        </w:tc>
        <w:tc>
          <w:tcPr>
            <w:tcW w:w="30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北京高校大学生就业创业指导中心</w:t>
            </w:r>
          </w:p>
        </w:tc>
      </w:tr>
      <w:tr>
        <w:tblPrEx>
          <w:tblCellMar>
            <w:top w:w="0" w:type="dxa"/>
            <w:left w:w="108" w:type="dxa"/>
            <w:bottom w:w="0" w:type="dxa"/>
            <w:right w:w="108" w:type="dxa"/>
          </w:tblCellMar>
        </w:tblPrEx>
        <w:trPr>
          <w:trHeight w:val="333" w:hRule="atLeast"/>
        </w:trPr>
        <w:tc>
          <w:tcPr>
            <w:tcW w:w="0" w:type="auto"/>
            <w:gridSpan w:val="3"/>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项目负责人</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王东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联系电话</w:t>
            </w:r>
          </w:p>
        </w:tc>
        <w:tc>
          <w:tcPr>
            <w:tcW w:w="30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rPr>
            </w:pPr>
            <w:r>
              <w:rPr>
                <w:rFonts w:hint="eastAsia" w:ascii="仿宋_GB2312" w:hAnsi="宋体" w:eastAsia="仿宋_GB2312" w:cs="仿宋_GB2312"/>
                <w:color w:val="000000"/>
                <w:kern w:val="0"/>
                <w:sz w:val="16"/>
                <w:szCs w:val="16"/>
              </w:rPr>
              <w:t>60910260</w:t>
            </w:r>
          </w:p>
        </w:tc>
      </w:tr>
      <w:tr>
        <w:tblPrEx>
          <w:tblCellMar>
            <w:top w:w="0" w:type="dxa"/>
            <w:left w:w="108" w:type="dxa"/>
            <w:bottom w:w="0" w:type="dxa"/>
            <w:right w:w="108" w:type="dxa"/>
          </w:tblCellMar>
        </w:tblPrEx>
        <w:trPr>
          <w:trHeight w:val="641" w:hRule="atLeast"/>
        </w:trPr>
        <w:tc>
          <w:tcPr>
            <w:tcW w:w="198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项目资金（万元）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Style w:val="11"/>
              </w:rPr>
            </w:pPr>
            <w:r>
              <w:rPr>
                <w:rStyle w:val="11"/>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Style w:val="11"/>
                <w:rFonts w:hAnsi="宋体"/>
              </w:rPr>
              <w:t>全年预算数</w:t>
            </w:r>
            <w:r>
              <w:rPr>
                <w:rStyle w:val="12"/>
                <w:rFonts w:hint="default"/>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全年执行数</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Style w:val="11"/>
                <w:rFonts w:hAnsi="宋体"/>
              </w:rPr>
              <w:t>分值</w:t>
            </w:r>
            <w:r>
              <w:rPr>
                <w:rStyle w:val="12"/>
                <w:rFonts w:hint="default"/>
              </w:rPr>
              <w:t xml:space="preserve">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执行率</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r>
      <w:tr>
        <w:tblPrEx>
          <w:tblCellMar>
            <w:top w:w="0" w:type="dxa"/>
            <w:left w:w="108" w:type="dxa"/>
            <w:bottom w:w="0" w:type="dxa"/>
            <w:right w:w="108" w:type="dxa"/>
          </w:tblCellMar>
        </w:tblPrEx>
        <w:trPr>
          <w:trHeight w:val="353" w:hRule="atLeast"/>
        </w:trPr>
        <w:tc>
          <w:tcPr>
            <w:tcW w:w="198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r>
              <w:rPr>
                <w:rFonts w:ascii="仿宋_GB2312" w:hAnsi="宋体" w:eastAsia="仿宋_GB2312" w:cs="仿宋_GB2312"/>
                <w:color w:val="000000"/>
                <w:sz w:val="16"/>
                <w:szCs w:val="16"/>
              </w:rPr>
              <w:t>353.9085</w:t>
            </w:r>
            <w:r>
              <w:rPr>
                <w:rFonts w:hint="eastAsia" w:ascii="仿宋_GB2312" w:hAnsi="宋体" w:eastAsia="仿宋_GB2312" w:cs="仿宋_GB2312"/>
                <w:color w:val="000000"/>
                <w:sz w:val="16"/>
                <w:szCs w:val="16"/>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353.572300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42.384300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11.99%</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1.20 </w:t>
            </w:r>
          </w:p>
        </w:tc>
      </w:tr>
      <w:tr>
        <w:tblPrEx>
          <w:tblCellMar>
            <w:top w:w="0" w:type="dxa"/>
            <w:left w:w="108" w:type="dxa"/>
            <w:bottom w:w="0" w:type="dxa"/>
            <w:right w:w="108" w:type="dxa"/>
          </w:tblCellMar>
        </w:tblPrEx>
        <w:trPr>
          <w:trHeight w:val="353" w:hRule="atLeast"/>
        </w:trPr>
        <w:tc>
          <w:tcPr>
            <w:tcW w:w="198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r>
              <w:rPr>
                <w:rFonts w:ascii="仿宋_GB2312" w:hAnsi="宋体" w:eastAsia="仿宋_GB2312" w:cs="仿宋_GB2312"/>
                <w:color w:val="000000"/>
                <w:sz w:val="16"/>
                <w:szCs w:val="16"/>
              </w:rPr>
              <w:t>353.9085</w:t>
            </w:r>
            <w:r>
              <w:rPr>
                <w:rFonts w:hint="eastAsia" w:ascii="仿宋_GB2312" w:hAnsi="宋体" w:eastAsia="仿宋_GB2312" w:cs="仿宋_GB2312"/>
                <w:color w:val="000000"/>
                <w:sz w:val="16"/>
                <w:szCs w:val="16"/>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353.572300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42.384300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11.99%</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33" w:hRule="atLeast"/>
        </w:trPr>
        <w:tc>
          <w:tcPr>
            <w:tcW w:w="198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33" w:hRule="atLeast"/>
        </w:trPr>
        <w:tc>
          <w:tcPr>
            <w:tcW w:w="198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其他资金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ascii="仿宋_GB2312" w:hAnsi="宋体" w:eastAsia="仿宋_GB2312" w:cs="仿宋_GB2312"/>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宋体" w:eastAsia="仿宋_GB2312" w:cs="仿宋_GB2312"/>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 —</w:t>
            </w:r>
          </w:p>
        </w:tc>
      </w:tr>
      <w:tr>
        <w:tblPrEx>
          <w:tblCellMar>
            <w:top w:w="0" w:type="dxa"/>
            <w:left w:w="108" w:type="dxa"/>
            <w:bottom w:w="0" w:type="dxa"/>
            <w:right w:w="108" w:type="dxa"/>
          </w:tblCellMar>
        </w:tblPrEx>
        <w:trPr>
          <w:trHeight w:val="394" w:hRule="atLeast"/>
        </w:trPr>
        <w:tc>
          <w:tcPr>
            <w:tcW w:w="376" w:type="dxa"/>
            <w:vMerge w:val="restart"/>
            <w:tcBorders>
              <w:top w:val="nil"/>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年度总体目标</w:t>
            </w:r>
          </w:p>
        </w:tc>
        <w:tc>
          <w:tcPr>
            <w:tcW w:w="558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预期目标</w:t>
            </w:r>
          </w:p>
        </w:tc>
        <w:tc>
          <w:tcPr>
            <w:tcW w:w="41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实际完成情况</w:t>
            </w:r>
          </w:p>
        </w:tc>
      </w:tr>
      <w:tr>
        <w:tblPrEx>
          <w:tblCellMar>
            <w:top w:w="0" w:type="dxa"/>
            <w:left w:w="108" w:type="dxa"/>
            <w:bottom w:w="0" w:type="dxa"/>
            <w:right w:w="108" w:type="dxa"/>
          </w:tblCellMar>
        </w:tblPrEx>
        <w:trPr>
          <w:trHeight w:val="2849" w:hRule="atLeast"/>
        </w:trPr>
        <w:tc>
          <w:tcPr>
            <w:tcW w:w="376" w:type="dxa"/>
            <w:vMerge w:val="continue"/>
            <w:tcBorders>
              <w:top w:val="nil"/>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 w:val="16"/>
                <w:szCs w:val="16"/>
              </w:rPr>
            </w:pPr>
          </w:p>
        </w:tc>
        <w:tc>
          <w:tcPr>
            <w:tcW w:w="558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（1）推进教育部高校毕业生就业状况跟踪调查北京分中心建设</w:t>
            </w:r>
          </w:p>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（2）完成2022年教育部“双一流”高校毕业生就业状况跟踪调查工作</w:t>
            </w:r>
          </w:p>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（3）完成北京市属本科高校毕业生就业状况跟踪调查工作</w:t>
            </w:r>
          </w:p>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（4）构建市属本科高校学科专业评价、人才培养质量数据库</w:t>
            </w:r>
          </w:p>
        </w:tc>
        <w:tc>
          <w:tcPr>
            <w:tcW w:w="4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本项目为追加预算项目，因项目资金在2022年9月底才拨付到位，其中，市属高校毕业生就业状况跟踪调查所涉及的资金部分需要按照采购管理相关规定履行程序，且周期较长（近三个月），所以，截至2022年底，本项目在预算执行进度和项目执行进度偏低。</w:t>
            </w:r>
          </w:p>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（1）推进教育部高校毕业生就业状况跟踪调查北京分中心建设，完成了工位升级改造和硬件购置。</w:t>
            </w:r>
          </w:p>
          <w:p>
            <w:pPr>
              <w:widowControl/>
              <w:jc w:val="left"/>
              <w:textAlignment w:val="center"/>
              <w:rPr>
                <w:rFonts w:hint="eastAsia" w:ascii="仿宋_GB2312" w:hAnsi="宋体" w:eastAsia="仿宋_GB2312" w:cs="仿宋_GB2312"/>
                <w:color w:val="000000"/>
                <w:kern w:val="0"/>
                <w:sz w:val="16"/>
                <w:szCs w:val="16"/>
                <w:lang w:eastAsia="zh-CN"/>
              </w:rPr>
            </w:pPr>
            <w:r>
              <w:rPr>
                <w:rFonts w:ascii="仿宋_GB2312" w:hAnsi="宋体" w:eastAsia="仿宋_GB2312" w:cs="仿宋_GB2312"/>
                <w:color w:val="000000"/>
                <w:kern w:val="0"/>
                <w:sz w:val="16"/>
                <w:szCs w:val="16"/>
              </w:rPr>
              <w:t>（2）部分完成2022年教育部“双一流”高校毕业生就业状况跟踪调查工作</w:t>
            </w:r>
          </w:p>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（3）部分完成北京市属本科高校毕业生就业状况跟踪调查工作</w:t>
            </w:r>
          </w:p>
        </w:tc>
      </w:tr>
      <w:tr>
        <w:tblPrEx>
          <w:tblCellMar>
            <w:top w:w="0" w:type="dxa"/>
            <w:left w:w="108" w:type="dxa"/>
            <w:bottom w:w="0" w:type="dxa"/>
            <w:right w:w="108" w:type="dxa"/>
          </w:tblCellMar>
        </w:tblPrEx>
        <w:trPr>
          <w:trHeight w:val="641" w:hRule="atLeast"/>
        </w:trPr>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绩效指标</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三级指标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年度指标值</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实际完成值</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分值</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得分</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偏差原因分析及改进措施</w:t>
            </w: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产出指标（50分）</w:t>
            </w:r>
          </w:p>
        </w:tc>
        <w:tc>
          <w:tcPr>
            <w:tcW w:w="984"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数量指标</w:t>
            </w: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采购台式机数量</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32台</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32台</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调查业务主管人数</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≥4800人</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1326人</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0.55 </w:t>
            </w:r>
          </w:p>
        </w:tc>
        <w:tc>
          <w:tcPr>
            <w:tcW w:w="1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本项目为追加预算项目，因项目资金在2022年9月底才拨付到位，其中，市属高校毕业生就业状况跟踪调查所涉及的资金部分需要按照采购管理相关规定履行程序，且周期较长（近三个月），所以，截至2022年底，本项目在预算执行进度和项目执行进度偏低。</w:t>
            </w: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调查招聘经理人数</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≥5800人</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3804人</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1.31 </w:t>
            </w:r>
          </w:p>
        </w:tc>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调查市属本科高校毕业生人数</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≥40000人</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6070人</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0.30 </w:t>
            </w:r>
          </w:p>
        </w:tc>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调查“双一流”高校毕业生人数</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≥50000人</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30021人</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1.20 </w:t>
            </w:r>
          </w:p>
        </w:tc>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9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调查分析报告</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3份</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0份</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0.00 </w:t>
            </w:r>
          </w:p>
        </w:tc>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采购笔记本数量</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8台</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8台</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采购呼叫中心专用耳麦</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40个</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40个</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采购触控一体机数量</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1台</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1台</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采购办公工位隔音围挡数量</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126套</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126套</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2</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2.00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质量指标</w:t>
            </w: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学生调查应答率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≥50%</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≥50%</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4</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4</w:t>
            </w:r>
            <w:r>
              <w:rPr>
                <w:rFonts w:ascii="仿宋_GB2312" w:hAnsi="宋体" w:eastAsia="仿宋_GB2312" w:cs="仿宋_GB2312"/>
                <w:color w:val="000000"/>
                <w:kern w:val="0"/>
                <w:sz w:val="16"/>
                <w:szCs w:val="16"/>
              </w:rPr>
              <w:t xml:space="preserve">.00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招聘经理应答率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3.00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p>
        </w:tc>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业务主管应答率</w:t>
            </w:r>
          </w:p>
        </w:tc>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3</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rPr>
              <w:t>3</w:t>
            </w:r>
            <w:r>
              <w:rPr>
                <w:rFonts w:ascii="仿宋_GB2312" w:hAnsi="宋体" w:eastAsia="仿宋_GB2312" w:cs="仿宋_GB2312"/>
                <w:color w:val="000000"/>
                <w:kern w:val="0"/>
                <w:sz w:val="16"/>
                <w:szCs w:val="16"/>
              </w:rPr>
              <w:t xml:space="preserve">.00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9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时效指标</w:t>
            </w:r>
          </w:p>
        </w:tc>
        <w:tc>
          <w:tcPr>
            <w:tcW w:w="194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严格按照教育部、市教委的工作进度安排完成相关工作</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718"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成本指标</w:t>
            </w:r>
          </w:p>
        </w:tc>
        <w:tc>
          <w:tcPr>
            <w:tcW w:w="194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经济成本指标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≤353.9085万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42.384300 </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1405"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效益指标（30分）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经济效益指标</w:t>
            </w:r>
          </w:p>
        </w:tc>
        <w:tc>
          <w:tcPr>
            <w:tcW w:w="194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推动高校教育教学改革、优化学科专业设置和高校分类发展，提高人才培养质量，提升教育供给服务首都经济社会发展的契合度。</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Arial" w:hAnsi="Arial" w:eastAsia="宋体" w:cs="Arial"/>
                <w:color w:val="000000"/>
                <w:sz w:val="16"/>
                <w:szCs w:val="16"/>
              </w:rPr>
            </w:pPr>
          </w:p>
        </w:tc>
      </w:tr>
      <w:tr>
        <w:tblPrEx>
          <w:tblCellMar>
            <w:top w:w="0" w:type="dxa"/>
            <w:left w:w="108" w:type="dxa"/>
            <w:bottom w:w="0" w:type="dxa"/>
            <w:right w:w="108" w:type="dxa"/>
          </w:tblCellMar>
        </w:tblPrEx>
        <w:trPr>
          <w:trHeight w:val="2218"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社会效益指标</w:t>
            </w:r>
          </w:p>
        </w:tc>
        <w:tc>
          <w:tcPr>
            <w:tcW w:w="194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通过高校毕业生就业状况跟踪调查工作，建立起高校、学科及专业的就业状况数据库，应用于学科建设、教学评估、专业设置、教学改革等方面，推动构建高质量教育体系及提升教育服务经济社会发展能力。</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879"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可持续影响指标</w:t>
            </w:r>
          </w:p>
        </w:tc>
        <w:tc>
          <w:tcPr>
            <w:tcW w:w="194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促进高校人才培养质量和教育服务经济社会发展能力不断提升。</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优</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1272" w:hRule="atLeast"/>
        </w:trPr>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绩效指标</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满意度指标（10分）</w:t>
            </w:r>
          </w:p>
        </w:tc>
        <w:tc>
          <w:tcPr>
            <w:tcW w:w="984" w:type="dxa"/>
            <w:tcBorders>
              <w:top w:val="nil"/>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服务对象     满意度指标</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仿宋_GB2312" w:hAnsi="宋体" w:eastAsia="仿宋_GB2312" w:cs="仿宋_GB2312"/>
                <w:color w:val="000000"/>
                <w:kern w:val="0"/>
                <w:sz w:val="16"/>
                <w:szCs w:val="16"/>
              </w:rPr>
            </w:pPr>
            <w:r>
              <w:rPr>
                <w:rFonts w:ascii="仿宋_GB2312" w:hAnsi="宋体" w:eastAsia="仿宋_GB2312" w:cs="仿宋_GB2312"/>
                <w:color w:val="000000"/>
                <w:kern w:val="0"/>
                <w:sz w:val="16"/>
                <w:szCs w:val="16"/>
              </w:rPr>
              <w:t>相应满意度指标</w:t>
            </w:r>
          </w:p>
        </w:tc>
        <w:tc>
          <w:tcPr>
            <w:tcW w:w="2032"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≥85%</w:t>
            </w:r>
          </w:p>
        </w:tc>
        <w:tc>
          <w:tcPr>
            <w:tcW w:w="110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45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w:t>
            </w:r>
          </w:p>
        </w:tc>
        <w:tc>
          <w:tcPr>
            <w:tcW w:w="69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10.00 </w:t>
            </w:r>
          </w:p>
        </w:tc>
        <w:tc>
          <w:tcPr>
            <w:tcW w:w="185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353"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100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rPr>
              <w:t xml:space="preserve">84.56 </w:t>
            </w:r>
          </w:p>
        </w:tc>
        <w:tc>
          <w:tcPr>
            <w:tcW w:w="1850" w:type="dxa"/>
            <w:tcBorders>
              <w:top w:val="single" w:color="000000" w:sz="4" w:space="0"/>
              <w:left w:val="nil"/>
              <w:bottom w:val="single" w:color="000000" w:sz="4" w:space="0"/>
              <w:right w:val="single" w:color="000000" w:sz="4" w:space="0"/>
            </w:tcBorders>
            <w:shd w:val="clear" w:color="auto" w:fill="auto"/>
            <w:noWrap/>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25" w:hRule="atLeast"/>
        </w:trPr>
        <w:tc>
          <w:tcPr>
            <w:tcW w:w="10062" w:type="dxa"/>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bookmarkStart w:id="0" w:name="_GoBack"/>
            <w:bookmarkEnd w:id="0"/>
          </w:p>
        </w:tc>
      </w:tr>
      <w:tr>
        <w:tblPrEx>
          <w:tblCellMar>
            <w:top w:w="0" w:type="dxa"/>
            <w:left w:w="108" w:type="dxa"/>
            <w:bottom w:w="0" w:type="dxa"/>
            <w:right w:w="108" w:type="dxa"/>
          </w:tblCellMar>
        </w:tblPrEx>
        <w:trPr>
          <w:trHeight w:val="323" w:hRule="atLeast"/>
        </w:trPr>
        <w:tc>
          <w:tcPr>
            <w:tcW w:w="10062" w:type="dxa"/>
            <w:gridSpan w:val="10"/>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1262" w:hRule="atLeast"/>
        </w:trPr>
        <w:tc>
          <w:tcPr>
            <w:tcW w:w="10062" w:type="dxa"/>
            <w:gridSpan w:val="10"/>
            <w:tcBorders>
              <w:top w:val="nil"/>
              <w:left w:val="nil"/>
              <w:bottom w:val="nil"/>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23"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1850" w:type="dxa"/>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r>
        <w:tblPrEx>
          <w:tblCellMar>
            <w:top w:w="0" w:type="dxa"/>
            <w:left w:w="108" w:type="dxa"/>
            <w:bottom w:w="0" w:type="dxa"/>
            <w:right w:w="108" w:type="dxa"/>
          </w:tblCellMar>
        </w:tblPrEx>
        <w:trPr>
          <w:trHeight w:val="323"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6"/>
                <w:szCs w:val="16"/>
              </w:rPr>
            </w:pPr>
          </w:p>
        </w:tc>
        <w:tc>
          <w:tcPr>
            <w:tcW w:w="1850" w:type="dxa"/>
            <w:tcBorders>
              <w:top w:val="nil"/>
              <w:left w:val="nil"/>
              <w:bottom w:val="nil"/>
              <w:right w:val="nil"/>
            </w:tcBorders>
            <w:shd w:val="clear" w:color="auto" w:fill="auto"/>
            <w:noWrap/>
            <w:vAlign w:val="center"/>
          </w:tcPr>
          <w:p>
            <w:pPr>
              <w:rPr>
                <w:rFonts w:ascii="宋体" w:hAnsi="宋体" w:eastAsia="宋体" w:cs="宋体"/>
                <w:color w:val="000000"/>
                <w:sz w:val="16"/>
                <w:szCs w:val="16"/>
              </w:rPr>
            </w:pPr>
          </w:p>
        </w:tc>
      </w:tr>
    </w:tbl>
    <w:p/>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E1ZWM0NjZmNjcxMWM1MGE2OTZkZjZlMTgwZTAwOTMifQ=="/>
  </w:docVars>
  <w:rsids>
    <w:rsidRoot w:val="12301C05"/>
    <w:rsid w:val="001B2AA0"/>
    <w:rsid w:val="0029265A"/>
    <w:rsid w:val="00B14066"/>
    <w:rsid w:val="017C2A4B"/>
    <w:rsid w:val="056D541B"/>
    <w:rsid w:val="08AF53FC"/>
    <w:rsid w:val="12301C05"/>
    <w:rsid w:val="24307ABA"/>
    <w:rsid w:val="24E3710D"/>
    <w:rsid w:val="292336A4"/>
    <w:rsid w:val="2BDE2B6C"/>
    <w:rsid w:val="3D2E1074"/>
    <w:rsid w:val="52D84CCE"/>
    <w:rsid w:val="604E7F5C"/>
    <w:rsid w:val="6B4C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41"/>
    <w:basedOn w:val="5"/>
    <w:qFormat/>
    <w:uiPriority w:val="0"/>
    <w:rPr>
      <w:rFonts w:hint="default" w:ascii="仿宋_GB2312" w:eastAsia="仿宋_GB2312" w:cs="仿宋_GB2312"/>
      <w:color w:val="000000"/>
      <w:sz w:val="24"/>
      <w:szCs w:val="24"/>
      <w:u w:val="none"/>
    </w:rPr>
  </w:style>
  <w:style w:type="character" w:customStyle="1" w:styleId="7">
    <w:name w:val="font151"/>
    <w:basedOn w:val="5"/>
    <w:qFormat/>
    <w:uiPriority w:val="0"/>
    <w:rPr>
      <w:rFonts w:hint="default" w:ascii="仿宋_GB2312" w:eastAsia="仿宋_GB2312" w:cs="仿宋_GB2312"/>
      <w:b/>
      <w:bCs/>
      <w:color w:val="000000"/>
      <w:sz w:val="24"/>
      <w:szCs w:val="24"/>
      <w:u w:val="none"/>
    </w:rPr>
  </w:style>
  <w:style w:type="character" w:customStyle="1" w:styleId="8">
    <w:name w:val="font121"/>
    <w:basedOn w:val="5"/>
    <w:qFormat/>
    <w:uiPriority w:val="0"/>
    <w:rPr>
      <w:rFonts w:hint="default" w:ascii="仿宋_GB2312" w:eastAsia="仿宋_GB2312" w:cs="仿宋_GB2312"/>
      <w:color w:val="000000"/>
      <w:sz w:val="24"/>
      <w:szCs w:val="24"/>
      <w:u w:val="none"/>
    </w:rPr>
  </w:style>
  <w:style w:type="character" w:customStyle="1" w:styleId="9">
    <w:name w:val="font51"/>
    <w:basedOn w:val="5"/>
    <w:qFormat/>
    <w:uiPriority w:val="0"/>
    <w:rPr>
      <w:rFonts w:hint="default" w:ascii="仿宋_GB2312" w:eastAsia="仿宋_GB2312" w:cs="仿宋_GB2312"/>
      <w:color w:val="000000"/>
      <w:sz w:val="22"/>
      <w:szCs w:val="22"/>
      <w:u w:val="none"/>
    </w:rPr>
  </w:style>
  <w:style w:type="character" w:customStyle="1" w:styleId="10">
    <w:name w:val="font161"/>
    <w:basedOn w:val="5"/>
    <w:qFormat/>
    <w:uiPriority w:val="0"/>
    <w:rPr>
      <w:rFonts w:hint="eastAsia" w:ascii="宋体" w:hAnsi="宋体" w:eastAsia="宋体" w:cs="宋体"/>
      <w:color w:val="000000"/>
      <w:sz w:val="22"/>
      <w:szCs w:val="22"/>
      <w:u w:val="none"/>
    </w:rPr>
  </w:style>
  <w:style w:type="character" w:customStyle="1" w:styleId="11">
    <w:name w:val="font71"/>
    <w:basedOn w:val="5"/>
    <w:qFormat/>
    <w:uiPriority w:val="0"/>
    <w:rPr>
      <w:rFonts w:hint="default" w:ascii="仿宋_GB2312" w:eastAsia="仿宋_GB2312" w:cs="仿宋_GB2312"/>
      <w:color w:val="000000"/>
      <w:sz w:val="16"/>
      <w:szCs w:val="16"/>
      <w:u w:val="none"/>
    </w:rPr>
  </w:style>
  <w:style w:type="character" w:customStyle="1" w:styleId="12">
    <w:name w:val="font61"/>
    <w:basedOn w:val="5"/>
    <w:qFormat/>
    <w:uiPriority w:val="0"/>
    <w:rPr>
      <w:rFonts w:hint="eastAsia" w:ascii="宋体" w:hAnsi="宋体" w:eastAsia="宋体" w:cs="宋体"/>
      <w:color w:val="000000"/>
      <w:sz w:val="16"/>
      <w:szCs w:val="16"/>
      <w:u w:val="none"/>
    </w:rPr>
  </w:style>
  <w:style w:type="character" w:customStyle="1" w:styleId="13">
    <w:name w:val="页眉 Char"/>
    <w:basedOn w:val="5"/>
    <w:link w:val="3"/>
    <w:qFormat/>
    <w:uiPriority w:val="0"/>
    <w:rPr>
      <w:rFonts w:asciiTheme="minorHAnsi" w:hAnsiTheme="minorHAnsi" w:eastAsiaTheme="minorEastAsia" w:cstheme="minorBidi"/>
      <w:kern w:val="2"/>
      <w:sz w:val="18"/>
      <w:szCs w:val="18"/>
    </w:rPr>
  </w:style>
  <w:style w:type="character" w:customStyle="1" w:styleId="14">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1482</Words>
  <Characters>1794</Characters>
  <Lines>5</Lines>
  <Paragraphs>4</Paragraphs>
  <TotalTime>14</TotalTime>
  <ScaleCrop>false</ScaleCrop>
  <LinksUpToDate>false</LinksUpToDate>
  <CharactersWithSpaces>1846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2023-05-10T01:25:00Z</dcterms:created>
  <dc:creator>lenovo</dc:creator>
  <cp:lastModifiedBy>晓爽</cp:lastModifiedBy>
  <cp:lastPrinted>2023-05-10T01:30:00Z</cp:lastPrinted>
  <dcterms:modified xsi:type="dcterms:W3CDTF">2023-07-02T03:18:33Z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248718B381344C0F9A7153E8E36C7B99</vt:lpwstr>
  </property>
</Properties>
</file>