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b/>
          <w:sz w:val="24"/>
          <w:szCs w:val="24"/>
        </w:rPr>
      </w:pPr>
    </w:p>
    <w:tbl>
      <w:tblPr>
        <w:tblStyle w:val="4"/>
        <w:tblW w:w="0" w:type="auto"/>
        <w:jc w:val="center"/>
        <w:tblLayout w:type="autofit"/>
        <w:tblCellMar>
          <w:top w:w="0" w:type="dxa"/>
          <w:left w:w="108" w:type="dxa"/>
          <w:bottom w:w="0" w:type="dxa"/>
          <w:right w:w="108" w:type="dxa"/>
        </w:tblCellMar>
      </w:tblPr>
      <w:tblGrid>
        <w:gridCol w:w="528"/>
        <w:gridCol w:w="1006"/>
        <w:gridCol w:w="1416"/>
        <w:gridCol w:w="304"/>
        <w:gridCol w:w="1702"/>
        <w:gridCol w:w="304"/>
        <w:gridCol w:w="1502"/>
        <w:gridCol w:w="3324"/>
        <w:gridCol w:w="320"/>
        <w:gridCol w:w="343"/>
        <w:gridCol w:w="354"/>
        <w:gridCol w:w="576"/>
        <w:gridCol w:w="999"/>
        <w:gridCol w:w="1496"/>
      </w:tblGrid>
      <w:tr>
        <w:tblPrEx>
          <w:tblCellMar>
            <w:top w:w="0" w:type="dxa"/>
            <w:left w:w="108" w:type="dxa"/>
            <w:bottom w:w="0" w:type="dxa"/>
            <w:right w:w="108" w:type="dxa"/>
          </w:tblCellMar>
        </w:tblPrEx>
        <w:trPr>
          <w:trHeight w:val="408" w:hRule="atLeast"/>
          <w:jc w:val="center"/>
        </w:trPr>
        <w:tc>
          <w:tcPr>
            <w:tcW w:w="0" w:type="auto"/>
            <w:gridSpan w:val="14"/>
            <w:tcBorders>
              <w:top w:val="nil"/>
              <w:left w:val="nil"/>
              <w:bottom w:val="nil"/>
              <w:right w:val="nil"/>
            </w:tcBorders>
            <w:shd w:val="clear" w:color="auto" w:fill="auto"/>
            <w:vAlign w:val="center"/>
          </w:tcPr>
          <w:p>
            <w:pPr>
              <w:widowControl/>
              <w:jc w:val="center"/>
              <w:rPr>
                <w:rFonts w:ascii="方正小标宋简体" w:hAnsi="宋体" w:eastAsia="方正小标宋简体" w:cs="宋体"/>
                <w:b/>
                <w:bCs/>
                <w:kern w:val="0"/>
                <w:sz w:val="32"/>
                <w:szCs w:val="32"/>
              </w:rPr>
            </w:pPr>
            <w:r>
              <w:rPr>
                <w:rFonts w:hint="eastAsia" w:ascii="方正小标宋简体" w:hAnsi="宋体" w:eastAsia="方正小标宋简体" w:cs="宋体"/>
                <w:b/>
                <w:bCs/>
                <w:kern w:val="0"/>
                <w:sz w:val="32"/>
                <w:szCs w:val="32"/>
              </w:rPr>
              <w:t>项目支出绩效自评表</w:t>
            </w:r>
          </w:p>
        </w:tc>
      </w:tr>
      <w:tr>
        <w:tblPrEx>
          <w:tblCellMar>
            <w:top w:w="0" w:type="dxa"/>
            <w:left w:w="108" w:type="dxa"/>
            <w:bottom w:w="0" w:type="dxa"/>
            <w:right w:w="108" w:type="dxa"/>
          </w:tblCellMar>
        </w:tblPrEx>
        <w:trPr>
          <w:trHeight w:val="288" w:hRule="atLeast"/>
          <w:jc w:val="center"/>
        </w:trPr>
        <w:tc>
          <w:tcPr>
            <w:tcW w:w="0" w:type="auto"/>
            <w:gridSpan w:val="14"/>
            <w:tcBorders>
              <w:top w:val="nil"/>
              <w:left w:val="nil"/>
              <w:bottom w:val="nil"/>
              <w:right w:val="nil"/>
            </w:tcBorders>
            <w:shd w:val="clear" w:color="auto" w:fill="auto"/>
            <w:vAlign w:val="center"/>
          </w:tcPr>
          <w:p>
            <w:pPr>
              <w:widowControl/>
              <w:jc w:val="center"/>
              <w:rPr>
                <w:rFonts w:ascii="宋体" w:hAnsi="宋体" w:eastAsia="宋体" w:cs="宋体"/>
                <w:kern w:val="0"/>
                <w:sz w:val="22"/>
              </w:rPr>
            </w:pPr>
            <w:r>
              <w:rPr>
                <w:rFonts w:hint="eastAsia" w:ascii="宋体" w:hAnsi="宋体" w:eastAsia="宋体" w:cs="宋体"/>
                <w:kern w:val="0"/>
                <w:sz w:val="22"/>
              </w:rPr>
              <w:t>（2022年度）</w:t>
            </w:r>
          </w:p>
        </w:tc>
      </w:tr>
      <w:tr>
        <w:tblPrEx>
          <w:tblCellMar>
            <w:top w:w="0" w:type="dxa"/>
            <w:left w:w="108" w:type="dxa"/>
            <w:bottom w:w="0" w:type="dxa"/>
            <w:right w:w="108" w:type="dxa"/>
          </w:tblCellMar>
        </w:tblPrEx>
        <w:trPr>
          <w:trHeight w:val="288" w:hRule="atLeast"/>
          <w:jc w:val="center"/>
        </w:trPr>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c>
          <w:tcPr>
            <w:tcW w:w="0" w:type="auto"/>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2"/>
              </w:rPr>
            </w:pP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项目名称</w:t>
            </w:r>
          </w:p>
        </w:tc>
        <w:tc>
          <w:tcPr>
            <w:tcW w:w="0" w:type="auto"/>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教师队伍建设-青年拔尖</w:t>
            </w: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主管部门</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北京市教育委员会</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实施单位</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首都师范大学</w:t>
            </w:r>
          </w:p>
        </w:tc>
      </w:tr>
      <w:tr>
        <w:tblPrEx>
          <w:tblCellMar>
            <w:top w:w="0" w:type="dxa"/>
            <w:left w:w="108" w:type="dxa"/>
            <w:bottom w:w="0" w:type="dxa"/>
            <w:right w:w="108" w:type="dxa"/>
          </w:tblCellMar>
        </w:tblPrEx>
        <w:trPr>
          <w:trHeight w:val="288" w:hRule="atLeast"/>
          <w:jc w:val="center"/>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项目负责人</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赵云云</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联系电话</w:t>
            </w:r>
          </w:p>
        </w:tc>
        <w:tc>
          <w:tcPr>
            <w:tcW w:w="0" w:type="auto"/>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13601024626</w:t>
            </w:r>
          </w:p>
        </w:tc>
      </w:tr>
      <w:tr>
        <w:tblPrEx>
          <w:tblCellMar>
            <w:top w:w="0" w:type="dxa"/>
            <w:left w:w="108" w:type="dxa"/>
            <w:bottom w:w="0" w:type="dxa"/>
            <w:right w:w="108" w:type="dxa"/>
          </w:tblCellMar>
        </w:tblPrEx>
        <w:trPr>
          <w:trHeight w:val="561" w:hRule="atLeast"/>
          <w:jc w:val="center"/>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项目资金</w:t>
            </w:r>
            <w:r>
              <w:rPr>
                <w:rFonts w:hint="eastAsia" w:ascii="仿宋_GB2312" w:hAnsi="宋体" w:eastAsia="仿宋_GB2312" w:cs="宋体"/>
                <w:color w:val="000000"/>
                <w:kern w:val="0"/>
                <w:sz w:val="22"/>
              </w:rPr>
              <w:br w:type="textWrapping"/>
            </w:r>
            <w:r>
              <w:rPr>
                <w:rFonts w:hint="eastAsia" w:ascii="仿宋_GB2312" w:hAnsi="宋体" w:eastAsia="仿宋_GB2312" w:cs="宋体"/>
                <w:color w:val="000000"/>
                <w:kern w:val="0"/>
                <w:sz w:val="22"/>
              </w:rPr>
              <w:t>（万元）</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年初预算数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全年预算数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全年执行数</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分值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执行率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得分</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年度资金总额</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67.272400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62.380577</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62.001757</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99.39%</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9.94</w:t>
            </w:r>
          </w:p>
        </w:tc>
      </w:tr>
      <w:tr>
        <w:tblPrEx>
          <w:tblCellMar>
            <w:top w:w="0" w:type="dxa"/>
            <w:left w:w="108" w:type="dxa"/>
            <w:bottom w:w="0" w:type="dxa"/>
            <w:right w:w="108" w:type="dxa"/>
          </w:tblCellMar>
        </w:tblPrEx>
        <w:trPr>
          <w:trHeight w:val="279"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其中：当年财政拨款</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67.272400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62.380577</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62.001757</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99.39%</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上年结转资金</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288"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xml:space="preserve">  其他资金</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w:t>
            </w:r>
          </w:p>
        </w:tc>
      </w:tr>
      <w:tr>
        <w:tblPrEx>
          <w:tblCellMar>
            <w:top w:w="0" w:type="dxa"/>
            <w:left w:w="108" w:type="dxa"/>
            <w:bottom w:w="0" w:type="dxa"/>
            <w:right w:w="108" w:type="dxa"/>
          </w:tblCellMar>
        </w:tblPrEx>
        <w:trPr>
          <w:trHeight w:val="1421"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年度总体目标</w:t>
            </w:r>
          </w:p>
        </w:tc>
        <w:tc>
          <w:tcPr>
            <w:tcW w:w="0" w:type="auto"/>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预期目标</w:t>
            </w:r>
          </w:p>
        </w:tc>
        <w:tc>
          <w:tcPr>
            <w:tcW w:w="0" w:type="auto"/>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实际完成情况</w:t>
            </w:r>
          </w:p>
        </w:tc>
      </w:tr>
      <w:tr>
        <w:tblPrEx>
          <w:tblCellMar>
            <w:top w:w="0" w:type="dxa"/>
            <w:left w:w="108" w:type="dxa"/>
            <w:bottom w:w="0" w:type="dxa"/>
            <w:right w:w="108" w:type="dxa"/>
          </w:tblCellMar>
        </w:tblPrEx>
        <w:trPr>
          <w:trHeight w:val="325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6"/>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培养11位青年拔尖人才,使我校中青年教师队伍的教学科研水平有大幅度提高，成为教学名师、学术带头人的后备力量，在市级以上各类科研项目和各种人才评选中涌现出更多人才。</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任宝藏：1)将多自由度光量子信号放大与超纠缠浓缩（纯化）相结合，提出同时抑制吸收损耗和信道噪声的多自由度光量子态保真传输新方法；2）发表SCI论文1-2篇，培养研究生1-2名。</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白敬徵：举办专场钢琴音乐会，带领同学们参与钢琴音乐会演奏，得到锻炼，并且制作展演音乐会的影音资料。</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胡玉林：探索传统与现代演绎形式创新，打出首都师范大学音乐学院的品牌，为我院争得良好口碑，侧面加大我校院的知名度，加大招生宣传力度，同时也为民族器乐的发展做出积极的贡献与影响。</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牛畅：项目在本年度内预期培养研究生2人，发表论文1篇，参加学术会议1次。</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袁程：结合上年度进展，本年度将参加各种形式学术活动2次以上（包括workshop、学术会议、研讨班、圆桌会议、讲座，因疫情原因将有线上线下两种方式）；在相关问题和关键环节咨询相关专家人数3人以上，次数15人次以上；赴上海、浙江、 新疆、河南等地考察调研2次以上，在项目经费缩减的情况下力图推进研究工作。</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周晶：构建pH响应团聚型稀土基多功能纳米材料，能够在肿瘤pH6.5中团聚，并实现肿瘤的高效诊疗。提升学科科学研究能力，在重大疾病诊疗领域打造进入国内一流学科水准的研究方向，主持国家和北京市重点和重大课题，产出突破性原创成果，在SCI发表研究型论文1篇。培养具有创新能力、能够独立开展科研工作的研究生6-8名。</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周楠：提升学术科研能力，发表学术论文1篇，服务一线幼儿园的实践。</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周蔚：1.继续深入研究注意力缺陷多动障碍和阅读障碍的区别与联系，以帮助鉴别两种学习障碍及其共患，并依据各类障碍的成因进行有针对性的训练。项目采用使用色块、黑色文字以及彩色文字（分别对应注意、阅读、注意+阅读的认知心理过程）作为儿童学习的材料，通过结合阅读心理测试、眼动和脑成像实验的方法考察正常儿童和学习障碍儿童在注意和阅读方面认知能力的差异。测试和实验的材料及过程可以进一步发展成为儿童学习阅读训练的程序。2.采用童话故事和说明文为测试材料，通过结合阅读心理测试、眼动和脑成像实验的方法考察影响小学阶段阅读能力和写作能力的认知因素、动机因素和环境因素，研究小学儿童读写能力发展的脑机制。发表论文2篇，申请科研项目1项。</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郭帅：构筑氮杂环卡宾稳定的第十族金属配位体系，实现高价金属参与的分子活化，对后续催化应用提供实质性机理支撑。培养研究生5人或以上，发表高水平SCI论文1篇或以上。</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韩文乾：发表相关论文1-2篇。组织1次相关学术研讨会。</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李圣传：（1）发表核心期刊论文1-3篇；（2）出版学术著作一部；（3）继续申报国家级相关人才计划；（4）参加重要学术会议并作大会发言。</w:t>
            </w:r>
          </w:p>
        </w:tc>
        <w:tc>
          <w:tcPr>
            <w:tcW w:w="0" w:type="auto"/>
            <w:gridSpan w:val="7"/>
            <w:tcBorders>
              <w:top w:val="single" w:color="auto" w:sz="4" w:space="0"/>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000000"/>
                <w:kern w:val="0"/>
                <w:sz w:val="16"/>
                <w:szCs w:val="16"/>
              </w:rPr>
            </w:pPr>
            <w:r>
              <w:rPr>
                <w:rFonts w:hint="eastAsia" w:ascii="仿宋_GB2312" w:hAnsi="宋体" w:eastAsia="仿宋_GB2312" w:cs="宋体"/>
                <w:color w:val="000000"/>
                <w:kern w:val="0"/>
                <w:sz w:val="16"/>
                <w:szCs w:val="16"/>
              </w:rPr>
              <w:t>通过青年拔尖人才培育计划项目的支持，我校自主培养出一批具有良好学术声誉的青年学者，取得了优秀的学术成果，在学术界崭露头角。</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任宝藏：1)将光量子态放大、超纠缠纯化和超纠缠浓缩相结合，设计同时抑制光子损耗和噪声的超纠缠蒸馏模型2）发表论文6篇，其中SCI论文4篇，培养研究生3名</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白敬徵：完成专场钢琴音乐会展演，带领同学们参与钢琴音乐会演奏，并且制作展演音乐会的影音资料。</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胡玉林：通过举办笛子音乐会创新传统与现代演绎形式，赢得了良好的声誉。同时申请专利2项。</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牛畅：培养研究生2人，发表一区论文1篇。</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袁程：在相关问题和关键环节咨询相关专家人数3人以上，次数15人次以上，参加2次学术活动，指导1名研究生论文通过盲审，获得较高评价。</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周晶：构建pH响应团聚型稀土基多功能纳米材料，能够在肿瘤pH6.5中团聚，并实现肿瘤的高效诊疗。主持国家自然科学基金重大研究计划培育项目《肿瘤微环境触发和酸性自适性调控提升结直肠癌光热-免疫复合诊疗效果研究》 ，发表SCI论文3篇。培养具有创新能力、能够独立开展科研工作的研究生8名。</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周楠：周楠发表论文2篇，其中核心期刊1篇，SSCI1篇。指导研究生投稿第二十四届全国心理学学术会议，2人海报展贴汇报，1人参加硕博论坛口头汇报并获优秀论文奖。积极投身幼儿园一线实践。</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周蔚：1. 深入研究注意力缺陷多动障碍和阅读障碍的区别与联系，以帮助鉴别两种学习障碍及其共患，并依据各类障碍的成因进行有针对性的训练。2. 采用童话故事和说明文为测试材料，通过结合阅读心理测试、眼动和脑成像实验的方法考察影响小学阶段阅读能力和写作能力的认知因素、动机因素和环境因素，研究小学儿童读写能力发展的脑机制。发表高水平论文3篇，其中SCI1篇，SSCI2篇。主持北京脑科学与类脑研究中心科研合作项目《人类语言发展模式的神经计算机制》。</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郭帅：构筑氮杂环卡宾稳定的第十族金属配位体系，实现高价金属参与的分子活化，对后续催化应用提供实质性机理支撑。发表SCI论文2篇，完成论文定稿1篇，培养研究生6人。</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韩文乾：论文定稿3篇，培养研究生9人，组织学术研讨会2次。</w:t>
            </w:r>
            <w:r>
              <w:rPr>
                <w:rFonts w:hint="eastAsia" w:ascii="仿宋_GB2312" w:hAnsi="宋体" w:eastAsia="仿宋_GB2312" w:cs="宋体"/>
                <w:color w:val="000000"/>
                <w:kern w:val="0"/>
                <w:sz w:val="16"/>
                <w:szCs w:val="16"/>
              </w:rPr>
              <w:br w:type="textWrapping"/>
            </w:r>
            <w:r>
              <w:rPr>
                <w:rFonts w:hint="eastAsia" w:ascii="仿宋_GB2312" w:hAnsi="宋体" w:eastAsia="仿宋_GB2312" w:cs="宋体"/>
                <w:color w:val="000000"/>
                <w:kern w:val="0"/>
                <w:sz w:val="16"/>
                <w:szCs w:val="16"/>
              </w:rPr>
              <w:t>李圣传：（1）发表核心期刊论文2篇，其他论文2篇；（2）合编教材1部；（3）参加重要学术会议并作大会发言。</w:t>
            </w:r>
          </w:p>
        </w:tc>
      </w:tr>
      <w:tr>
        <w:tblPrEx>
          <w:tblCellMar>
            <w:top w:w="0" w:type="dxa"/>
            <w:left w:w="108" w:type="dxa"/>
            <w:bottom w:w="0" w:type="dxa"/>
            <w:right w:w="108" w:type="dxa"/>
          </w:tblCellMar>
        </w:tblPrEx>
        <w:trPr>
          <w:trHeight w:val="660" w:hRule="atLeast"/>
          <w:jc w:val="center"/>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textDirection w:val="tbRlV"/>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绩效指标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一级指标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二级指标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年度指标值</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分值</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得分</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偏差原因分析及改进措施</w:t>
            </w:r>
          </w:p>
        </w:tc>
      </w:tr>
      <w:tr>
        <w:tblPrEx>
          <w:tblCellMar>
            <w:top w:w="0" w:type="dxa"/>
            <w:left w:w="108" w:type="dxa"/>
            <w:bottom w:w="0" w:type="dxa"/>
            <w:right w:w="108" w:type="dxa"/>
          </w:tblCellMar>
        </w:tblPrEx>
        <w:trPr>
          <w:trHeight w:val="122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产出指标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数量指标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指导研究生</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≥10人</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32人</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126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质量指标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发表论文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21</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实际完成值与年初设立目标存在偏差。改进措施：加强项目的前期论证调研，提高绩效目标申报的精确度。</w:t>
            </w:r>
          </w:p>
        </w:tc>
      </w:tr>
      <w:tr>
        <w:tblPrEx>
          <w:tblCellMar>
            <w:top w:w="0" w:type="dxa"/>
            <w:left w:w="108" w:type="dxa"/>
            <w:bottom w:w="0" w:type="dxa"/>
            <w:right w:w="108" w:type="dxa"/>
          </w:tblCellMar>
        </w:tblPrEx>
        <w:trPr>
          <w:trHeight w:val="195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时效指标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1-9月,获得重要研究进展；9-12月完成研究生培养及论文发表工作。</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0"/>
                <w:szCs w:val="20"/>
              </w:rPr>
            </w:pPr>
            <w:r>
              <w:rPr>
                <w:rFonts w:hint="eastAsia" w:ascii="仿宋_GB2312" w:hAnsi="宋体" w:eastAsia="仿宋_GB2312" w:cs="宋体"/>
                <w:color w:val="000000"/>
                <w:kern w:val="0"/>
                <w:sz w:val="20"/>
                <w:szCs w:val="20"/>
              </w:rPr>
              <w:t>1-9月相关研究进展已获得突破</w:t>
            </w:r>
            <w:r>
              <w:rPr>
                <w:rFonts w:hint="eastAsia" w:ascii="仿宋_GB2312" w:hAnsi="宋体" w:eastAsia="仿宋_GB2312" w:cs="宋体"/>
                <w:color w:val="000000"/>
                <w:kern w:val="0"/>
                <w:sz w:val="20"/>
                <w:szCs w:val="20"/>
              </w:rPr>
              <w:br w:type="textWrapping"/>
            </w:r>
            <w:r>
              <w:rPr>
                <w:rFonts w:hint="eastAsia" w:ascii="仿宋_GB2312" w:hAnsi="宋体" w:eastAsia="仿宋_GB2312" w:cs="宋体"/>
                <w:color w:val="000000"/>
                <w:kern w:val="0"/>
                <w:sz w:val="20"/>
                <w:szCs w:val="20"/>
              </w:rPr>
              <w:t>9-12月研究生培养和论文发表已完成。钢琴音乐会因疫情原因未按照预定时间进行。</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受疫情影响，钢琴音乐会未按照预定时间进行。改进措施：钢琴音乐会于2023年3月圆满举办并顺利结束。</w:t>
            </w:r>
          </w:p>
        </w:tc>
      </w:tr>
      <w:tr>
        <w:tblPrEx>
          <w:tblCellMar>
            <w:top w:w="0" w:type="dxa"/>
            <w:left w:w="108" w:type="dxa"/>
            <w:bottom w:w="0" w:type="dxa"/>
            <w:right w:w="108" w:type="dxa"/>
          </w:tblCellMar>
        </w:tblPrEx>
        <w:trPr>
          <w:trHeight w:val="92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成本指标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项目预算控制</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优，项目资金支出率为99.39%。</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9.94</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今后将加强相关论证，进一步提高资金使用效益。</w:t>
            </w:r>
          </w:p>
        </w:tc>
      </w:tr>
      <w:tr>
        <w:tblPrEx>
          <w:tblCellMar>
            <w:top w:w="0" w:type="dxa"/>
            <w:left w:w="108" w:type="dxa"/>
            <w:bottom w:w="0" w:type="dxa"/>
            <w:right w:w="108" w:type="dxa"/>
          </w:tblCellMar>
        </w:tblPrEx>
        <w:trPr>
          <w:trHeight w:val="1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效益指标</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经济效益指标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促进相关学科领域人才培养工作</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优，项目的实施促进了相关学科领域人才培养工作。</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指标值设置的不够合理。改进措施：根据项目实际情况，按效益产出分类设置对应的绩效指标，规范各项效益指标设置。</w:t>
            </w:r>
          </w:p>
        </w:tc>
      </w:tr>
      <w:tr>
        <w:tblPrEx>
          <w:tblCellMar>
            <w:top w:w="0" w:type="dxa"/>
            <w:left w:w="108" w:type="dxa"/>
            <w:bottom w:w="0" w:type="dxa"/>
            <w:right w:w="108" w:type="dxa"/>
          </w:tblCellMar>
        </w:tblPrEx>
        <w:trPr>
          <w:trHeight w:val="156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社会效益指标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促进相关学科领域开展科学研究工作</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优，项目的实施促进了相关学科领域开展科学研究工作。</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124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生态效益指标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促进学校整体学术生态良性发展</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优，项目的实施促进了学校整体学术生态良性发展。</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指标值设置的不够合理。改进措施：根据项目实际情况，按效益产出分类设置对应的绩效指标，规范各项效益指标设置。</w:t>
            </w:r>
          </w:p>
        </w:tc>
      </w:tr>
      <w:tr>
        <w:tblPrEx>
          <w:tblCellMar>
            <w:top w:w="0" w:type="dxa"/>
            <w:left w:w="108" w:type="dxa"/>
            <w:bottom w:w="0" w:type="dxa"/>
            <w:right w:w="108" w:type="dxa"/>
          </w:tblCellMar>
        </w:tblPrEx>
        <w:trPr>
          <w:trHeight w:val="1152"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可持续影响指标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促进学校提升核心竞争力和综合实力</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优良中低差</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优，项目的实施促进了学校提升核心竞争力和综合实力。</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无</w:t>
            </w:r>
          </w:p>
        </w:tc>
      </w:tr>
      <w:tr>
        <w:tblPrEx>
          <w:tblCellMar>
            <w:top w:w="0" w:type="dxa"/>
            <w:left w:w="108" w:type="dxa"/>
            <w:bottom w:w="0" w:type="dxa"/>
            <w:right w:w="108" w:type="dxa"/>
          </w:tblCellMar>
        </w:tblPrEx>
        <w:trPr>
          <w:trHeight w:val="166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满意度指标</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服务对象满意度指标</w:t>
            </w:r>
          </w:p>
        </w:tc>
        <w:tc>
          <w:tcPr>
            <w:tcW w:w="0" w:type="auto"/>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本项目填报绩效目标申报表时</w:t>
            </w:r>
            <w:r>
              <w:rPr>
                <w:rFonts w:hint="eastAsia" w:ascii="仿宋_GB2312" w:hAnsi="宋体" w:eastAsia="仿宋_GB2312" w:cs="宋体"/>
                <w:color w:val="000000"/>
                <w:kern w:val="0"/>
                <w:sz w:val="22"/>
                <w:lang w:val="en-US" w:eastAsia="zh-CN"/>
              </w:rPr>
              <w:t>未</w:t>
            </w:r>
            <w:r>
              <w:rPr>
                <w:rFonts w:hint="eastAsia" w:ascii="仿宋_GB2312" w:hAnsi="宋体" w:eastAsia="仿宋_GB2312" w:cs="宋体"/>
                <w:color w:val="000000"/>
                <w:kern w:val="0"/>
                <w:sz w:val="22"/>
              </w:rPr>
              <w:t>设置满意度指标。满意度指标1的设定为学生满意度95%。改进措施：今后将注意绩效目标申报时各项指标填报的完整性。</w:t>
            </w:r>
          </w:p>
        </w:tc>
      </w:tr>
      <w:tr>
        <w:tblPrEx>
          <w:tblCellMar>
            <w:top w:w="0" w:type="dxa"/>
            <w:left w:w="108" w:type="dxa"/>
            <w:bottom w:w="0" w:type="dxa"/>
            <w:right w:w="108" w:type="dxa"/>
          </w:tblCellMar>
        </w:tblPrEx>
        <w:trPr>
          <w:trHeight w:val="1584"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color w:val="000000"/>
                <w:kern w:val="0"/>
                <w:sz w:val="22"/>
              </w:rPr>
            </w:pP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本项目填报绩效目标申报表时</w:t>
            </w:r>
            <w:r>
              <w:rPr>
                <w:rFonts w:hint="eastAsia" w:ascii="仿宋_GB2312" w:hAnsi="宋体" w:eastAsia="仿宋_GB2312" w:cs="宋体"/>
                <w:color w:val="000000"/>
                <w:kern w:val="0"/>
                <w:sz w:val="22"/>
                <w:lang w:val="en-US" w:eastAsia="zh-CN"/>
              </w:rPr>
              <w:t>未</w:t>
            </w:r>
            <w:bookmarkStart w:id="0" w:name="_GoBack"/>
            <w:bookmarkEnd w:id="0"/>
            <w:r>
              <w:rPr>
                <w:rFonts w:hint="eastAsia" w:ascii="仿宋_GB2312" w:hAnsi="宋体" w:eastAsia="仿宋_GB2312" w:cs="宋体"/>
                <w:color w:val="000000"/>
                <w:kern w:val="0"/>
                <w:sz w:val="22"/>
              </w:rPr>
              <w:t>设置满意度指标。满意度指标2的设定为同行评价满意度95%。改进措施：今后将注意绩效目标申报时各项指标填报的完整性。</w:t>
            </w:r>
          </w:p>
        </w:tc>
      </w:tr>
      <w:tr>
        <w:tblPrEx>
          <w:tblCellMar>
            <w:top w:w="0" w:type="dxa"/>
            <w:left w:w="108" w:type="dxa"/>
            <w:bottom w:w="0" w:type="dxa"/>
            <w:right w:w="108" w:type="dxa"/>
          </w:tblCellMar>
        </w:tblPrEx>
        <w:trPr>
          <w:trHeight w:val="411" w:hRule="atLeast"/>
          <w:jc w:val="center"/>
        </w:trPr>
        <w:tc>
          <w:tcPr>
            <w:tcW w:w="0" w:type="auto"/>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总分</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100</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000000"/>
                <w:kern w:val="0"/>
                <w:sz w:val="22"/>
              </w:rPr>
            </w:pPr>
            <w:r>
              <w:rPr>
                <w:rFonts w:hint="eastAsia" w:ascii="仿宋_GB2312" w:hAnsi="宋体" w:eastAsia="仿宋_GB2312" w:cs="宋体"/>
                <w:b/>
                <w:bCs/>
                <w:color w:val="000000"/>
                <w:kern w:val="0"/>
                <w:sz w:val="22"/>
              </w:rPr>
              <w:t xml:space="preserve">87.88 </w:t>
            </w:r>
          </w:p>
        </w:tc>
        <w:tc>
          <w:tcPr>
            <w:tcW w:w="0" w:type="auto"/>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　</w:t>
            </w:r>
          </w:p>
        </w:tc>
      </w:tr>
    </w:tbl>
    <w:p>
      <w:pPr>
        <w:jc w:val="cente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VlZjZlYjFmZTJiY2ZkOGE3OTMyNDNlZjIwOGU0MDQifQ=="/>
  </w:docVars>
  <w:rsids>
    <w:rsidRoot w:val="00182BE1"/>
    <w:rsid w:val="00182BE1"/>
    <w:rsid w:val="003140E8"/>
    <w:rsid w:val="00485AFD"/>
    <w:rsid w:val="0066299A"/>
    <w:rsid w:val="00962A97"/>
    <w:rsid w:val="00B94090"/>
    <w:rsid w:val="00C44707"/>
    <w:rsid w:val="00CB1204"/>
    <w:rsid w:val="00F279FE"/>
    <w:rsid w:val="08B829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B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5</Pages>
  <Words>3016</Words>
  <Characters>3217</Characters>
  <Lines>24</Lines>
  <Paragraphs>6</Paragraphs>
  <TotalTime>5</TotalTime>
  <ScaleCrop>false</ScaleCrop>
  <LinksUpToDate>false</LinksUpToDate>
  <CharactersWithSpaces>3248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2023-05-10T15:45:00Z</dcterms:created>
  <dc:creator>HP</dc:creator>
  <cp:lastModifiedBy>王会敏</cp:lastModifiedBy>
  <dcterms:modified xsi:type="dcterms:W3CDTF">2023-05-26T00:29:40Z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9F7EC0735FEB45D9B9A4EE8C702C0626</vt:lpwstr>
  </property>
</Properties>
</file>